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60"/>
        <w:gridCol w:w="2430"/>
      </w:tblGrid>
      <w:tr w:rsidR="00905E26" w:rsidRPr="00127AE7" w14:paraId="11E352D7" w14:textId="77777777" w:rsidTr="00F871F3">
        <w:tc>
          <w:tcPr>
            <w:tcW w:w="1908" w:type="dxa"/>
          </w:tcPr>
          <w:p w14:paraId="70EAED5A" w14:textId="77777777" w:rsidR="00905E26" w:rsidRPr="00127AE7" w:rsidRDefault="00E7758D" w:rsidP="00F871F3">
            <w:pPr>
              <w:pStyle w:val="Heading2"/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  <w:r>
              <w:tab/>
            </w:r>
          </w:p>
        </w:tc>
        <w:tc>
          <w:tcPr>
            <w:tcW w:w="6660" w:type="dxa"/>
            <w:vAlign w:val="bottom"/>
          </w:tcPr>
          <w:p w14:paraId="7FA08C01" w14:textId="77777777" w:rsidR="00905E26" w:rsidRPr="00127AE7" w:rsidRDefault="00905E26" w:rsidP="00F871F3">
            <w:pPr>
              <w:pStyle w:val="Heading2"/>
              <w:widowControl w:val="0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430" w:type="dxa"/>
          </w:tcPr>
          <w:p w14:paraId="4D27FB5F" w14:textId="77777777" w:rsidR="00905E26" w:rsidRPr="006C12AB" w:rsidRDefault="00905E26" w:rsidP="00F871F3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</w:pPr>
            <w:r w:rsidRPr="006C12AB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Last Revised 8-2013</w:t>
            </w:r>
          </w:p>
        </w:tc>
      </w:tr>
      <w:tr w:rsidR="00905E26" w:rsidRPr="00127AE7" w14:paraId="70A24ADA" w14:textId="77777777" w:rsidTr="00F871F3">
        <w:trPr>
          <w:trHeight w:val="990"/>
        </w:trPr>
        <w:tc>
          <w:tcPr>
            <w:tcW w:w="10998" w:type="dxa"/>
            <w:gridSpan w:val="3"/>
          </w:tcPr>
          <w:p w14:paraId="58EDC816" w14:textId="77777777" w:rsidR="00905E26" w:rsidRPr="006C12AB" w:rsidRDefault="00905E26" w:rsidP="00F871F3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</w:pPr>
            <w:r w:rsidRPr="006C12AB"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  <w:t xml:space="preserve">Nuclear Science and Engineering </w:t>
            </w:r>
          </w:p>
          <w:p w14:paraId="3521E6DC" w14:textId="77777777" w:rsidR="00905E26" w:rsidRPr="00127AE7" w:rsidRDefault="00905E26" w:rsidP="00F871F3">
            <w:pPr>
              <w:pStyle w:val="Heading2"/>
              <w:widowControl w:val="0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14:paraId="1D1E9199" w14:textId="77777777" w:rsidR="00E7758D" w:rsidRDefault="00E7758D">
      <w:pPr>
        <w:pStyle w:val="Heading1"/>
        <w:rPr>
          <w:sz w:val="24"/>
        </w:rPr>
      </w:pPr>
    </w:p>
    <w:p w14:paraId="38C44C8F" w14:textId="77777777" w:rsidR="003110CC" w:rsidRDefault="00E7758D">
      <w:pPr>
        <w:pStyle w:val="Heading2"/>
        <w:rPr>
          <w:rFonts w:ascii="Cambria" w:hAnsi="Cambria"/>
          <w:sz w:val="44"/>
        </w:rPr>
      </w:pPr>
      <w:r w:rsidRPr="003110CC">
        <w:rPr>
          <w:rFonts w:ascii="Cambria" w:hAnsi="Cambria"/>
          <w:sz w:val="44"/>
        </w:rPr>
        <w:t xml:space="preserve">Guidelines </w:t>
      </w:r>
      <w:r w:rsidR="003110CC" w:rsidRPr="003110CC">
        <w:rPr>
          <w:rFonts w:ascii="Cambria" w:hAnsi="Cambria"/>
          <w:sz w:val="36"/>
        </w:rPr>
        <w:t xml:space="preserve">for </w:t>
      </w:r>
      <w:r w:rsidR="00372726" w:rsidRPr="003110CC">
        <w:rPr>
          <w:rFonts w:ascii="Cambria" w:hAnsi="Cambria"/>
          <w:sz w:val="44"/>
        </w:rPr>
        <w:t xml:space="preserve">Ph.D. </w:t>
      </w:r>
    </w:p>
    <w:p w14:paraId="5DB9E9B5" w14:textId="77777777" w:rsidR="00E7758D" w:rsidRPr="003110CC" w:rsidRDefault="00E7758D">
      <w:pPr>
        <w:pStyle w:val="Heading2"/>
        <w:rPr>
          <w:rFonts w:ascii="Cambria" w:hAnsi="Cambria"/>
          <w:sz w:val="44"/>
        </w:rPr>
      </w:pPr>
      <w:r w:rsidRPr="003110CC">
        <w:rPr>
          <w:rFonts w:ascii="Cambria" w:hAnsi="Cambria"/>
          <w:sz w:val="44"/>
        </w:rPr>
        <w:t>Comprehensive</w:t>
      </w:r>
      <w:r w:rsidR="006A5036" w:rsidRPr="003110CC">
        <w:rPr>
          <w:rFonts w:ascii="Cambria" w:hAnsi="Cambria"/>
          <w:sz w:val="44"/>
        </w:rPr>
        <w:t>-</w:t>
      </w:r>
      <w:r w:rsidR="00C37F5C" w:rsidRPr="003110CC">
        <w:rPr>
          <w:rFonts w:ascii="Cambria" w:hAnsi="Cambria"/>
          <w:sz w:val="44"/>
        </w:rPr>
        <w:t>Qualifying</w:t>
      </w:r>
      <w:r w:rsidRPr="003110CC">
        <w:rPr>
          <w:rFonts w:ascii="Cambria" w:hAnsi="Cambria"/>
          <w:sz w:val="44"/>
        </w:rPr>
        <w:t xml:space="preserve"> Examination</w:t>
      </w:r>
      <w:r w:rsidR="003110CC">
        <w:rPr>
          <w:rFonts w:ascii="Cambria" w:hAnsi="Cambria"/>
          <w:sz w:val="44"/>
        </w:rPr>
        <w:t xml:space="preserve"> </w:t>
      </w:r>
    </w:p>
    <w:p w14:paraId="4047A3D7" w14:textId="77777777" w:rsidR="00E7758D" w:rsidRPr="003110CC" w:rsidRDefault="00E7758D">
      <w:pPr>
        <w:rPr>
          <w:rFonts w:ascii="Cambria" w:hAnsi="Cambria"/>
        </w:rPr>
      </w:pPr>
    </w:p>
    <w:p w14:paraId="176535D7" w14:textId="77777777" w:rsidR="00E7758D" w:rsidRPr="00696620" w:rsidRDefault="006A5036">
      <w:pPr>
        <w:pStyle w:val="BodyTextIndent"/>
        <w:rPr>
          <w:rFonts w:ascii="Cambria" w:hAnsi="Cambria"/>
          <w:sz w:val="24"/>
          <w:szCs w:val="24"/>
        </w:rPr>
      </w:pPr>
      <w:r w:rsidRPr="00696620">
        <w:rPr>
          <w:rFonts w:ascii="Cambria" w:hAnsi="Cambria"/>
          <w:sz w:val="24"/>
          <w:szCs w:val="24"/>
        </w:rPr>
        <w:t>T</w:t>
      </w:r>
      <w:r w:rsidR="00E7758D" w:rsidRPr="00696620">
        <w:rPr>
          <w:rFonts w:ascii="Cambria" w:hAnsi="Cambria"/>
          <w:sz w:val="24"/>
          <w:szCs w:val="24"/>
        </w:rPr>
        <w:t xml:space="preserve">he </w:t>
      </w:r>
      <w:r w:rsidR="003110CC" w:rsidRPr="00696620">
        <w:rPr>
          <w:rFonts w:ascii="Cambria" w:hAnsi="Cambria"/>
          <w:sz w:val="24"/>
          <w:szCs w:val="24"/>
        </w:rPr>
        <w:t>Ph.D.</w:t>
      </w:r>
      <w:r w:rsidRPr="00696620">
        <w:rPr>
          <w:rFonts w:ascii="Cambria" w:hAnsi="Cambria"/>
          <w:sz w:val="24"/>
          <w:szCs w:val="24"/>
        </w:rPr>
        <w:t xml:space="preserve"> A</w:t>
      </w:r>
      <w:r w:rsidR="00E7758D" w:rsidRPr="00696620">
        <w:rPr>
          <w:rFonts w:ascii="Cambria" w:hAnsi="Cambria"/>
          <w:sz w:val="24"/>
          <w:szCs w:val="24"/>
        </w:rPr>
        <w:t xml:space="preserve">dvisory </w:t>
      </w:r>
      <w:r w:rsidRPr="00696620">
        <w:rPr>
          <w:rFonts w:ascii="Cambria" w:hAnsi="Cambria"/>
          <w:sz w:val="24"/>
          <w:szCs w:val="24"/>
        </w:rPr>
        <w:t>C</w:t>
      </w:r>
      <w:r w:rsidR="00E7758D" w:rsidRPr="00696620">
        <w:rPr>
          <w:rFonts w:ascii="Cambria" w:hAnsi="Cambria"/>
          <w:sz w:val="24"/>
          <w:szCs w:val="24"/>
        </w:rPr>
        <w:t xml:space="preserve">ommittee has the responsibility for the </w:t>
      </w:r>
      <w:r w:rsidR="007F7D30" w:rsidRPr="00696620">
        <w:rPr>
          <w:rFonts w:ascii="Cambria" w:hAnsi="Cambria"/>
          <w:sz w:val="24"/>
          <w:szCs w:val="24"/>
        </w:rPr>
        <w:t>“</w:t>
      </w:r>
      <w:r w:rsidR="00E7758D" w:rsidRPr="00696620">
        <w:rPr>
          <w:rFonts w:ascii="Cambria" w:hAnsi="Cambria"/>
          <w:sz w:val="24"/>
          <w:szCs w:val="24"/>
        </w:rPr>
        <w:t xml:space="preserve">student’s progress until after the </w:t>
      </w:r>
      <w:r w:rsidR="007A106C" w:rsidRPr="00696620">
        <w:rPr>
          <w:rFonts w:ascii="Cambria" w:hAnsi="Cambria"/>
          <w:sz w:val="24"/>
          <w:szCs w:val="24"/>
        </w:rPr>
        <w:t xml:space="preserve">comprehensive-qualifying examination </w:t>
      </w:r>
      <w:r w:rsidR="00E7758D" w:rsidRPr="00696620">
        <w:rPr>
          <w:rFonts w:ascii="Cambria" w:hAnsi="Cambria"/>
          <w:sz w:val="24"/>
          <w:szCs w:val="24"/>
        </w:rPr>
        <w:t xml:space="preserve">has been satisfactorily completed and the student has been admitted to candidacy.” Further, the committee members are “responsible for preparation and grading of the </w:t>
      </w:r>
      <w:r w:rsidR="007A106C" w:rsidRPr="00696620">
        <w:rPr>
          <w:rFonts w:ascii="Cambria" w:hAnsi="Cambria"/>
          <w:sz w:val="24"/>
          <w:szCs w:val="24"/>
        </w:rPr>
        <w:t xml:space="preserve">comprehensive-qualifying examination </w:t>
      </w:r>
      <w:r w:rsidR="00E7758D" w:rsidRPr="00696620">
        <w:rPr>
          <w:rFonts w:ascii="Cambria" w:hAnsi="Cambria"/>
          <w:sz w:val="24"/>
          <w:szCs w:val="24"/>
        </w:rPr>
        <w:t>which is to be at least eight hours long</w:t>
      </w:r>
      <w:r w:rsidR="007F7D30" w:rsidRPr="00696620">
        <w:rPr>
          <w:rFonts w:ascii="Cambria" w:hAnsi="Cambria"/>
          <w:sz w:val="24"/>
          <w:szCs w:val="24"/>
        </w:rPr>
        <w:t>”</w:t>
      </w:r>
      <w:r w:rsidR="00E7758D" w:rsidRPr="00696620">
        <w:rPr>
          <w:rFonts w:ascii="Cambria" w:hAnsi="Cambria"/>
          <w:sz w:val="24"/>
          <w:szCs w:val="24"/>
        </w:rPr>
        <w:t xml:space="preserve">. </w:t>
      </w:r>
    </w:p>
    <w:p w14:paraId="20CF3E91" w14:textId="77777777" w:rsidR="00E7758D" w:rsidRDefault="00E7758D">
      <w:pPr>
        <w:ind w:left="720"/>
        <w:rPr>
          <w:rFonts w:ascii="Cambria" w:hAnsi="Cambria"/>
        </w:rPr>
      </w:pPr>
    </w:p>
    <w:p w14:paraId="49A002C3" w14:textId="77777777" w:rsidR="00E7758D" w:rsidRPr="00696620" w:rsidRDefault="00E7758D">
      <w:pPr>
        <w:ind w:left="720"/>
        <w:rPr>
          <w:rFonts w:ascii="Cambria" w:hAnsi="Cambria"/>
          <w:b/>
          <w:sz w:val="28"/>
        </w:rPr>
      </w:pPr>
      <w:r w:rsidRPr="00696620">
        <w:rPr>
          <w:rFonts w:ascii="Cambria" w:hAnsi="Cambria"/>
          <w:b/>
          <w:sz w:val="28"/>
        </w:rPr>
        <w:t>Guidelines for the Comprehensive</w:t>
      </w:r>
      <w:r w:rsidR="007F7D30" w:rsidRPr="00696620">
        <w:rPr>
          <w:rFonts w:ascii="Cambria" w:hAnsi="Cambria"/>
          <w:b/>
          <w:sz w:val="28"/>
        </w:rPr>
        <w:t>-</w:t>
      </w:r>
      <w:r w:rsidR="00372726" w:rsidRPr="00696620">
        <w:rPr>
          <w:rFonts w:ascii="Cambria" w:hAnsi="Cambria"/>
          <w:b/>
          <w:sz w:val="28"/>
        </w:rPr>
        <w:t>Qualifying</w:t>
      </w:r>
      <w:r w:rsidRPr="00696620">
        <w:rPr>
          <w:rFonts w:ascii="Cambria" w:hAnsi="Cambria"/>
          <w:b/>
          <w:sz w:val="28"/>
        </w:rPr>
        <w:t xml:space="preserve"> Examination (C</w:t>
      </w:r>
      <w:r w:rsidR="006A5036" w:rsidRPr="00696620">
        <w:rPr>
          <w:rFonts w:ascii="Cambria" w:hAnsi="Cambria"/>
          <w:b/>
          <w:sz w:val="28"/>
        </w:rPr>
        <w:t>Q</w:t>
      </w:r>
      <w:r w:rsidRPr="00696620">
        <w:rPr>
          <w:rFonts w:ascii="Cambria" w:hAnsi="Cambria"/>
          <w:b/>
          <w:sz w:val="28"/>
        </w:rPr>
        <w:t xml:space="preserve">E) and the </w:t>
      </w:r>
      <w:r w:rsidR="00372726" w:rsidRPr="00696620">
        <w:rPr>
          <w:rFonts w:ascii="Cambria" w:hAnsi="Cambria"/>
          <w:b/>
          <w:sz w:val="28"/>
        </w:rPr>
        <w:t xml:space="preserve">Ph.D. </w:t>
      </w:r>
      <w:r w:rsidRPr="00696620">
        <w:rPr>
          <w:rFonts w:ascii="Cambria" w:hAnsi="Cambria"/>
          <w:b/>
          <w:sz w:val="28"/>
        </w:rPr>
        <w:t>Advisory Committee (</w:t>
      </w:r>
      <w:r w:rsidR="006A5036" w:rsidRPr="00696620">
        <w:rPr>
          <w:rFonts w:ascii="Cambria" w:hAnsi="Cambria"/>
          <w:b/>
          <w:sz w:val="28"/>
        </w:rPr>
        <w:t>P</w:t>
      </w:r>
      <w:r w:rsidRPr="00696620">
        <w:rPr>
          <w:rFonts w:ascii="Cambria" w:hAnsi="Cambria"/>
          <w:b/>
          <w:sz w:val="28"/>
        </w:rPr>
        <w:t>AC) are as follows:</w:t>
      </w:r>
    </w:p>
    <w:p w14:paraId="1A96D4A0" w14:textId="77777777" w:rsidR="00E7758D" w:rsidRPr="00696620" w:rsidRDefault="00E7758D">
      <w:pPr>
        <w:rPr>
          <w:rFonts w:ascii="Cambria" w:hAnsi="Cambria"/>
        </w:rPr>
      </w:pPr>
    </w:p>
    <w:p w14:paraId="2767B32D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The material to be included in the </w:t>
      </w:r>
      <w:r w:rsidR="006A5036" w:rsidRPr="00696620">
        <w:rPr>
          <w:rFonts w:ascii="Cambria" w:hAnsi="Cambria"/>
        </w:rPr>
        <w:t>exam</w:t>
      </w:r>
      <w:r w:rsidRPr="00696620">
        <w:rPr>
          <w:rFonts w:ascii="Cambria" w:hAnsi="Cambria"/>
        </w:rPr>
        <w:t xml:space="preserve"> is at junior/senior and graduate levels.</w:t>
      </w:r>
    </w:p>
    <w:p w14:paraId="50518FE7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The </w:t>
      </w:r>
      <w:r w:rsidR="006A5036" w:rsidRPr="00696620">
        <w:rPr>
          <w:rFonts w:ascii="Cambria" w:hAnsi="Cambria"/>
        </w:rPr>
        <w:t>exam</w:t>
      </w:r>
      <w:r w:rsidRPr="00696620">
        <w:rPr>
          <w:rFonts w:ascii="Cambria" w:hAnsi="Cambria"/>
        </w:rPr>
        <w:t xml:space="preserve"> is a closed</w:t>
      </w:r>
      <w:r w:rsidR="00370C72" w:rsidRPr="00696620">
        <w:rPr>
          <w:rFonts w:ascii="Cambria" w:hAnsi="Cambria"/>
        </w:rPr>
        <w:t>/open</w:t>
      </w:r>
      <w:r w:rsidRPr="00696620">
        <w:rPr>
          <w:rFonts w:ascii="Cambria" w:hAnsi="Cambria"/>
        </w:rPr>
        <w:t xml:space="preserve"> book exam. If </w:t>
      </w:r>
      <w:r w:rsidR="00370C72" w:rsidRPr="00696620">
        <w:rPr>
          <w:rFonts w:ascii="Cambria" w:hAnsi="Cambria"/>
        </w:rPr>
        <w:t>closed book</w:t>
      </w:r>
      <w:r w:rsidRPr="00696620">
        <w:rPr>
          <w:rFonts w:ascii="Cambria" w:hAnsi="Cambria"/>
        </w:rPr>
        <w:t>, data or any other relevant material may be supplied.</w:t>
      </w:r>
    </w:p>
    <w:p w14:paraId="640A607D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 Sample questions for students taking the </w:t>
      </w:r>
      <w:r w:rsidR="006A5036" w:rsidRPr="00696620">
        <w:rPr>
          <w:rFonts w:ascii="Cambria" w:hAnsi="Cambria"/>
        </w:rPr>
        <w:t>exam</w:t>
      </w:r>
      <w:r w:rsidRPr="00696620">
        <w:rPr>
          <w:rFonts w:ascii="Cambria" w:hAnsi="Cambria"/>
        </w:rPr>
        <w:t xml:space="preserve"> must be made available by the </w:t>
      </w:r>
      <w:r w:rsidR="006A5036" w:rsidRPr="00696620">
        <w:rPr>
          <w:rFonts w:ascii="Cambria" w:hAnsi="Cambria"/>
        </w:rPr>
        <w:t>Committee</w:t>
      </w:r>
      <w:r w:rsidR="007F7D30" w:rsidRPr="00696620">
        <w:rPr>
          <w:rFonts w:ascii="Cambria" w:hAnsi="Cambria"/>
        </w:rPr>
        <w:t>.</w:t>
      </w:r>
    </w:p>
    <w:p w14:paraId="7D2497DD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In making the exam, the </w:t>
      </w:r>
      <w:r w:rsidR="006A5036" w:rsidRPr="00696620">
        <w:rPr>
          <w:rFonts w:ascii="Cambria" w:hAnsi="Cambria"/>
        </w:rPr>
        <w:t>Committee</w:t>
      </w:r>
      <w:r w:rsidRPr="00696620">
        <w:rPr>
          <w:rFonts w:ascii="Cambria" w:hAnsi="Cambria"/>
        </w:rPr>
        <w:t xml:space="preserve"> should hold a meeting of its members to discuss the</w:t>
      </w:r>
      <w:r w:rsidR="00FD660B" w:rsidRPr="00696620">
        <w:rPr>
          <w:rFonts w:ascii="Cambria" w:hAnsi="Cambria"/>
        </w:rPr>
        <w:t xml:space="preserve"> </w:t>
      </w:r>
      <w:r w:rsidRPr="00696620">
        <w:rPr>
          <w:rFonts w:ascii="Cambria" w:hAnsi="Cambria"/>
        </w:rPr>
        <w:t xml:space="preserve">contents of the exam to make sure that the exam questions are within the scope and level of the student taking the exam. The </w:t>
      </w:r>
      <w:r w:rsidR="006A5036" w:rsidRPr="00696620">
        <w:rPr>
          <w:rFonts w:ascii="Cambria" w:hAnsi="Cambria"/>
        </w:rPr>
        <w:t>Committee</w:t>
      </w:r>
      <w:r w:rsidRPr="00696620">
        <w:rPr>
          <w:rFonts w:ascii="Cambria" w:hAnsi="Cambria"/>
        </w:rPr>
        <w:t xml:space="preserve"> may also request other graduate faculty who are knowledgeable in the area of student’s background, to assist in the exam. Further, the </w:t>
      </w:r>
      <w:r w:rsidR="006A5036" w:rsidRPr="00696620">
        <w:rPr>
          <w:rFonts w:ascii="Cambria" w:hAnsi="Cambria"/>
        </w:rPr>
        <w:t>Committee</w:t>
      </w:r>
      <w:r w:rsidRPr="00696620">
        <w:rPr>
          <w:rFonts w:ascii="Cambria" w:hAnsi="Cambria"/>
        </w:rPr>
        <w:t xml:space="preserve"> may decide to have some common questions in Mathematics appropriate for the program for all the students to ensure that the students have the basic competency expected of a Ph.D. student in </w:t>
      </w:r>
      <w:r w:rsidR="00B74C6A" w:rsidRPr="00696620">
        <w:rPr>
          <w:rFonts w:ascii="Cambria" w:hAnsi="Cambria"/>
        </w:rPr>
        <w:t xml:space="preserve">Chemistry, </w:t>
      </w:r>
      <w:r w:rsidRPr="00696620">
        <w:rPr>
          <w:rFonts w:ascii="Cambria" w:hAnsi="Cambria"/>
        </w:rPr>
        <w:t>Engineering</w:t>
      </w:r>
      <w:r w:rsidR="006A5036" w:rsidRPr="00696620">
        <w:rPr>
          <w:rFonts w:ascii="Cambria" w:hAnsi="Cambria"/>
        </w:rPr>
        <w:t xml:space="preserve"> (all programs)</w:t>
      </w:r>
      <w:r w:rsidRPr="00696620">
        <w:rPr>
          <w:rFonts w:ascii="Cambria" w:hAnsi="Cambria"/>
        </w:rPr>
        <w:t xml:space="preserve">, </w:t>
      </w:r>
      <w:r w:rsidR="00B74C6A" w:rsidRPr="00696620">
        <w:rPr>
          <w:rFonts w:ascii="Cambria" w:hAnsi="Cambria"/>
        </w:rPr>
        <w:t xml:space="preserve">Geosciences, Mathematics, and </w:t>
      </w:r>
      <w:r w:rsidRPr="00696620">
        <w:rPr>
          <w:rFonts w:ascii="Cambria" w:hAnsi="Cambria"/>
        </w:rPr>
        <w:t>Physics and also to ensure that there is some common basis for easy comparison of students.</w:t>
      </w:r>
    </w:p>
    <w:p w14:paraId="7FE2EE2B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>Each question should clearly specify the relative weight so that the student may properly allot time for each question.</w:t>
      </w:r>
    </w:p>
    <w:p w14:paraId="3FD7F59C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As the individual questions are sometimes made up and graded by different teachers, students are advised to start a new sheet for each question. </w:t>
      </w:r>
    </w:p>
    <w:p w14:paraId="5AF6439A" w14:textId="77777777" w:rsidR="00E7758D" w:rsidRPr="00696620" w:rsidRDefault="00696620" w:rsidP="00696620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>To make sure the results of the exam are communicated by the end of the semester, t</w:t>
      </w:r>
      <w:r w:rsidR="00FD660B" w:rsidRPr="00696620">
        <w:rPr>
          <w:rFonts w:ascii="Cambria" w:hAnsi="Cambria"/>
        </w:rPr>
        <w:t xml:space="preserve">he exam is normally held on </w:t>
      </w:r>
      <w:r w:rsidRPr="00696620">
        <w:rPr>
          <w:rFonts w:ascii="Cambria" w:hAnsi="Cambria"/>
        </w:rPr>
        <w:t xml:space="preserve">the </w:t>
      </w:r>
      <w:r w:rsidR="00FD660B" w:rsidRPr="00696620">
        <w:rPr>
          <w:rFonts w:ascii="Cambria" w:hAnsi="Cambria"/>
        </w:rPr>
        <w:t>last Thursday and Friday in October for fall semester</w:t>
      </w:r>
      <w:r w:rsidRPr="00696620">
        <w:rPr>
          <w:rFonts w:ascii="Cambria" w:hAnsi="Cambria"/>
        </w:rPr>
        <w:t xml:space="preserve">, and </w:t>
      </w:r>
      <w:r w:rsidR="00FD660B" w:rsidRPr="00696620">
        <w:rPr>
          <w:rFonts w:ascii="Cambria" w:hAnsi="Cambria"/>
        </w:rPr>
        <w:t>March for spring semester</w:t>
      </w:r>
      <w:r w:rsidRPr="00696620">
        <w:rPr>
          <w:rFonts w:ascii="Cambria" w:hAnsi="Cambria"/>
        </w:rPr>
        <w:t xml:space="preserve">. </w:t>
      </w:r>
      <w:r w:rsidR="00FD660B" w:rsidRPr="00696620">
        <w:rPr>
          <w:rFonts w:ascii="Cambria" w:hAnsi="Cambria"/>
        </w:rPr>
        <w:t xml:space="preserve"> </w:t>
      </w:r>
      <w:r w:rsidR="00E7758D" w:rsidRPr="00696620">
        <w:rPr>
          <w:rFonts w:ascii="Cambria" w:hAnsi="Cambria"/>
        </w:rPr>
        <w:t xml:space="preserve">The duration of the </w:t>
      </w:r>
      <w:r w:rsidR="006A5036" w:rsidRPr="00696620">
        <w:rPr>
          <w:rFonts w:ascii="Cambria" w:hAnsi="Cambria"/>
        </w:rPr>
        <w:t>exam</w:t>
      </w:r>
      <w:r w:rsidR="00E7758D" w:rsidRPr="00696620">
        <w:rPr>
          <w:rFonts w:ascii="Cambria" w:hAnsi="Cambria"/>
        </w:rPr>
        <w:t xml:space="preserve"> is 8 hours, normally held in two sessions of 4-hour duration on two days.</w:t>
      </w:r>
    </w:p>
    <w:p w14:paraId="348C544C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The </w:t>
      </w:r>
      <w:r w:rsidR="006A5036" w:rsidRPr="00696620">
        <w:rPr>
          <w:rFonts w:ascii="Cambria" w:hAnsi="Cambria"/>
        </w:rPr>
        <w:t>Committee</w:t>
      </w:r>
      <w:r w:rsidRPr="00696620">
        <w:rPr>
          <w:rFonts w:ascii="Cambria" w:hAnsi="Cambria"/>
        </w:rPr>
        <w:t xml:space="preserve"> will conduct and grade the exam. </w:t>
      </w:r>
    </w:p>
    <w:p w14:paraId="068AA9ED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The </w:t>
      </w:r>
      <w:r w:rsidR="006A5036" w:rsidRPr="00696620">
        <w:rPr>
          <w:rFonts w:ascii="Cambria" w:hAnsi="Cambria"/>
        </w:rPr>
        <w:t>Committee</w:t>
      </w:r>
      <w:r w:rsidRPr="00696620">
        <w:rPr>
          <w:rFonts w:ascii="Cambria" w:hAnsi="Cambria"/>
        </w:rPr>
        <w:t xml:space="preserve"> should have a meeting of its members in which the grading and results are discussed and prepare a report to the Ph.D. Program Committee (PPC) or Dean of </w:t>
      </w:r>
      <w:r w:rsidR="00B74C6A" w:rsidRPr="00696620">
        <w:rPr>
          <w:rFonts w:ascii="Cambria" w:hAnsi="Cambria"/>
        </w:rPr>
        <w:t xml:space="preserve">the College of Science and </w:t>
      </w:r>
      <w:r w:rsidRPr="00696620">
        <w:rPr>
          <w:rFonts w:ascii="Cambria" w:hAnsi="Cambria"/>
        </w:rPr>
        <w:t xml:space="preserve">Engineering. </w:t>
      </w:r>
    </w:p>
    <w:p w14:paraId="10A59310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The decision of the final result of the </w:t>
      </w:r>
      <w:r w:rsidR="006A5036" w:rsidRPr="00696620">
        <w:rPr>
          <w:rFonts w:ascii="Cambria" w:hAnsi="Cambria"/>
        </w:rPr>
        <w:t>exam</w:t>
      </w:r>
      <w:r w:rsidRPr="00696620">
        <w:rPr>
          <w:rFonts w:ascii="Cambria" w:hAnsi="Cambria"/>
        </w:rPr>
        <w:t xml:space="preserve"> is to be made only after appropriate discussion by the PPC and all other faculty associated with the </w:t>
      </w:r>
      <w:r w:rsidR="006A5036" w:rsidRPr="00696620">
        <w:rPr>
          <w:rFonts w:ascii="Cambria" w:hAnsi="Cambria"/>
        </w:rPr>
        <w:t>exam</w:t>
      </w:r>
      <w:r w:rsidRPr="00696620">
        <w:rPr>
          <w:rFonts w:ascii="Cambria" w:hAnsi="Cambria"/>
        </w:rPr>
        <w:t>.</w:t>
      </w:r>
    </w:p>
    <w:p w14:paraId="3B077580" w14:textId="77777777" w:rsidR="00E7758D" w:rsidRPr="00696620" w:rsidRDefault="00E7758D">
      <w:pPr>
        <w:numPr>
          <w:ilvl w:val="0"/>
          <w:numId w:val="4"/>
        </w:numPr>
        <w:rPr>
          <w:rFonts w:ascii="Cambria" w:hAnsi="Cambria"/>
        </w:rPr>
      </w:pPr>
      <w:r w:rsidRPr="00696620">
        <w:rPr>
          <w:rFonts w:ascii="Cambria" w:hAnsi="Cambria"/>
        </w:rPr>
        <w:t xml:space="preserve">Finally, the </w:t>
      </w:r>
      <w:r w:rsidR="006A5036" w:rsidRPr="00696620">
        <w:rPr>
          <w:rFonts w:ascii="Cambria" w:hAnsi="Cambria"/>
        </w:rPr>
        <w:t>P</w:t>
      </w:r>
      <w:r w:rsidRPr="00696620">
        <w:rPr>
          <w:rFonts w:ascii="Cambria" w:hAnsi="Cambria"/>
        </w:rPr>
        <w:t xml:space="preserve">AC as a whole can set any reasonable guidelines for the exam. As explained above, the </w:t>
      </w:r>
      <w:r w:rsidR="006A5036" w:rsidRPr="00696620">
        <w:rPr>
          <w:rFonts w:ascii="Cambria" w:hAnsi="Cambria"/>
        </w:rPr>
        <w:t>exam</w:t>
      </w:r>
      <w:r w:rsidRPr="00696620">
        <w:rPr>
          <w:rFonts w:ascii="Cambria" w:hAnsi="Cambria"/>
        </w:rPr>
        <w:t xml:space="preserve"> will hold at least two meeting, the first one for making the exam and the second one for discussing grading</w:t>
      </w:r>
      <w:r w:rsidR="009D081F" w:rsidRPr="00696620">
        <w:rPr>
          <w:rFonts w:ascii="Cambria" w:hAnsi="Cambria"/>
        </w:rPr>
        <w:t xml:space="preserve">, </w:t>
      </w:r>
      <w:r w:rsidRPr="00696620">
        <w:rPr>
          <w:rFonts w:ascii="Cambria" w:hAnsi="Cambria"/>
        </w:rPr>
        <w:t>result</w:t>
      </w:r>
      <w:r w:rsidR="009D081F" w:rsidRPr="00696620">
        <w:rPr>
          <w:rFonts w:ascii="Cambria" w:hAnsi="Cambria"/>
        </w:rPr>
        <w:t>,</w:t>
      </w:r>
      <w:r w:rsidRPr="00696620">
        <w:rPr>
          <w:rFonts w:ascii="Cambria" w:hAnsi="Cambria"/>
        </w:rPr>
        <w:t xml:space="preserve"> and preparing report.</w:t>
      </w:r>
    </w:p>
    <w:sectPr w:rsidR="00E7758D" w:rsidRPr="00696620" w:rsidSect="003110CC">
      <w:footerReference w:type="even" r:id="rId8"/>
      <w:type w:val="continuous"/>
      <w:pgSz w:w="12240" w:h="15840"/>
      <w:pgMar w:top="576" w:right="720" w:bottom="576" w:left="1008" w:header="720" w:footer="317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6EFC" w14:textId="77777777" w:rsidR="00360219" w:rsidRDefault="00360219">
      <w:r>
        <w:separator/>
      </w:r>
    </w:p>
  </w:endnote>
  <w:endnote w:type="continuationSeparator" w:id="0">
    <w:p w14:paraId="4853448D" w14:textId="77777777" w:rsidR="00360219" w:rsidRDefault="0036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learly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E459" w14:textId="77777777" w:rsidR="00490B2B" w:rsidRDefault="00490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8B164E" w14:textId="77777777" w:rsidR="00490B2B" w:rsidRDefault="00490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7B2E" w14:textId="77777777" w:rsidR="00360219" w:rsidRDefault="00360219">
      <w:r>
        <w:separator/>
      </w:r>
    </w:p>
  </w:footnote>
  <w:footnote w:type="continuationSeparator" w:id="0">
    <w:p w14:paraId="339D6FD9" w14:textId="77777777" w:rsidR="00360219" w:rsidRDefault="0036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1CF0"/>
    <w:multiLevelType w:val="singleLevel"/>
    <w:tmpl w:val="BF328344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" w15:restartNumberingAfterBreak="0">
    <w:nsid w:val="42F57977"/>
    <w:multiLevelType w:val="hybridMultilevel"/>
    <w:tmpl w:val="7C424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E6CA2"/>
    <w:multiLevelType w:val="hybridMultilevel"/>
    <w:tmpl w:val="F1F4C8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074D85"/>
    <w:multiLevelType w:val="singleLevel"/>
    <w:tmpl w:val="67548F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C"/>
    <w:rsid w:val="00156E18"/>
    <w:rsid w:val="002A0064"/>
    <w:rsid w:val="003110CC"/>
    <w:rsid w:val="00337578"/>
    <w:rsid w:val="00360219"/>
    <w:rsid w:val="00370C72"/>
    <w:rsid w:val="00372726"/>
    <w:rsid w:val="00395145"/>
    <w:rsid w:val="00432B17"/>
    <w:rsid w:val="00490B2B"/>
    <w:rsid w:val="005859A3"/>
    <w:rsid w:val="005A4278"/>
    <w:rsid w:val="00652F29"/>
    <w:rsid w:val="00696620"/>
    <w:rsid w:val="006A5036"/>
    <w:rsid w:val="007A106C"/>
    <w:rsid w:val="007F7D30"/>
    <w:rsid w:val="00800BA0"/>
    <w:rsid w:val="00812F31"/>
    <w:rsid w:val="008E0911"/>
    <w:rsid w:val="00905E26"/>
    <w:rsid w:val="009D081F"/>
    <w:rsid w:val="009D4423"/>
    <w:rsid w:val="00A307CC"/>
    <w:rsid w:val="00B74C6A"/>
    <w:rsid w:val="00B84715"/>
    <w:rsid w:val="00BB21CE"/>
    <w:rsid w:val="00C37F5C"/>
    <w:rsid w:val="00D97E9F"/>
    <w:rsid w:val="00E7758D"/>
    <w:rsid w:val="00EF15C1"/>
    <w:rsid w:val="00F871F3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585220"/>
  <w15:chartTrackingRefBased/>
  <w15:docId w15:val="{221BD400-5E65-4C2F-863E-3357916E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bCs/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snapToGrid w:val="0"/>
      <w:sz w:val="22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lang w:val="x-none" w:eastAsia="x-none"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odyTextIndent">
    <w:name w:val="Body Text Indent"/>
    <w:basedOn w:val="Normal"/>
    <w:semiHidden/>
    <w:pPr>
      <w:ind w:left="720"/>
    </w:pPr>
    <w:rPr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TitleChar">
    <w:name w:val="Title Char"/>
    <w:link w:val="Title"/>
    <w:rsid w:val="006A5036"/>
    <w:rPr>
      <w:b/>
      <w:sz w:val="28"/>
    </w:rPr>
  </w:style>
  <w:style w:type="character" w:customStyle="1" w:styleId="SubtitleChar">
    <w:name w:val="Subtitle Char"/>
    <w:link w:val="Subtitle"/>
    <w:rsid w:val="006A5036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32B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32B1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10CC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8BE46-1C12-41CF-8847-0B7AC711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Idaho State University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College of Engineering</dc:creator>
  <cp:keywords/>
  <cp:lastModifiedBy>Administrator</cp:lastModifiedBy>
  <cp:revision>2</cp:revision>
  <cp:lastPrinted>2005-01-07T23:17:00Z</cp:lastPrinted>
  <dcterms:created xsi:type="dcterms:W3CDTF">2023-08-08T15:41:00Z</dcterms:created>
  <dcterms:modified xsi:type="dcterms:W3CDTF">2023-08-08T15:41:00Z</dcterms:modified>
</cp:coreProperties>
</file>