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AC2C78">
            <w:pPr>
              <w:rPr>
                <w:b/>
                <w:bCs/>
              </w:rPr>
            </w:pPr>
            <w:r>
              <w:t>1</w:t>
            </w:r>
            <w:r w:rsidR="00643614" w:rsidRPr="00AF08DD">
              <w:t xml:space="preserve"> Credi</w:t>
            </w:r>
            <w:r>
              <w:t>t</w:t>
            </w:r>
            <w:r w:rsidR="00A47A35" w:rsidRPr="00AF08DD">
              <w:t xml:space="preserve"> </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AC2C78" w:rsidP="00CD5D6C">
            <w:r>
              <w:t xml:space="preserve">Thursday: Class </w:t>
            </w:r>
            <w:r w:rsidR="000A748E">
              <w:t>3</w:t>
            </w:r>
            <w:r w:rsidR="008F58AE">
              <w:t>:00-</w:t>
            </w:r>
            <w:r w:rsidR="000A748E">
              <w:t>3</w:t>
            </w:r>
            <w:r w:rsidR="008F58AE">
              <w:t>:</w:t>
            </w:r>
            <w:r w:rsidR="00340FA4">
              <w:t>5</w:t>
            </w:r>
            <w:r w:rsidR="008F58AE">
              <w:t>0pm</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C2C78" w:rsidP="00A47A35">
            <w:pPr>
              <w:rPr>
                <w:b/>
                <w:bCs/>
              </w:rPr>
            </w:pPr>
            <w:r>
              <w:t>Chelsie Wheatley</w:t>
            </w:r>
            <w:r w:rsidR="00AF08DD">
              <w:t xml:space="preserve">, </w:t>
            </w:r>
            <w:r>
              <w:t>B</w:t>
            </w:r>
            <w:r w:rsidR="00AF08DD">
              <w:t>SRS</w:t>
            </w:r>
            <w:r w:rsidR="00A47A35" w:rsidRPr="00AF08DD">
              <w:t xml:space="preserve">, </w:t>
            </w:r>
            <w:r>
              <w:t xml:space="preserve">BSDMS, </w:t>
            </w:r>
            <w:r w:rsidR="00A47A35" w:rsidRPr="00AF08DD">
              <w:t>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C2C78" w:rsidP="009F15CC">
            <w:pPr>
              <w:rPr>
                <w:b/>
                <w:bCs/>
              </w:rPr>
            </w:pPr>
            <w:r>
              <w:t>208-241-1599</w:t>
            </w:r>
            <w:r w:rsidR="00A47A35" w:rsidRPr="00AF08DD">
              <w:t xml:space="preserve"> or </w:t>
            </w:r>
            <w:r>
              <w:t>208-</w:t>
            </w:r>
            <w:r w:rsidR="00A47A35" w:rsidRPr="00AF08DD">
              <w:t xml:space="preserve">282-4042 (Secretary, </w:t>
            </w:r>
            <w:r>
              <w:t>Alyssa</w:t>
            </w:r>
            <w:r w:rsidR="00A47A35" w:rsidRPr="00AF08DD">
              <w:t>)</w:t>
            </w:r>
          </w:p>
        </w:tc>
      </w:tr>
    </w:tbl>
    <w:p w:rsidR="00C00886" w:rsidRPr="00AF08DD" w:rsidRDefault="00C00886">
      <w:pPr>
        <w:rPr>
          <w:b/>
          <w:bCs/>
        </w:rPr>
      </w:pPr>
    </w:p>
    <w:p w:rsidR="00AC2C78" w:rsidRDefault="00A47A35" w:rsidP="003A3D9C">
      <w:r w:rsidRPr="00AF08DD">
        <w:rPr>
          <w:b/>
          <w:bCs/>
        </w:rPr>
        <w:t>Overview:</w:t>
      </w:r>
      <w:r w:rsidRPr="00AF08DD">
        <w:rPr>
          <w:b/>
        </w:rPr>
        <w:t xml:space="preserve">  </w:t>
      </w:r>
      <w:r w:rsidR="000A748E">
        <w:t xml:space="preserve">Sonography students will review activities structured following the guidelines of the ARDMS to earn the credentials of Registered Diagnostic Medical Sonographer (RDMS). Specific focus concentration areas include: Sonography Principles &amp; Instrumentation (SPI) Examination, Abdomen (AB) examination, </w:t>
      </w:r>
      <w:r w:rsidR="00DC51B8">
        <w:t>and the Obstetrics &amp; Gynecology (OB/GYN) Examination.</w:t>
      </w:r>
      <w:r w:rsidR="00AC2C78">
        <w:t xml:space="preserve"> </w:t>
      </w:r>
    </w:p>
    <w:p w:rsidR="002F3724" w:rsidRPr="00AF08DD" w:rsidRDefault="002F3724" w:rsidP="003A3D9C">
      <w:pPr>
        <w:rPr>
          <w:b/>
          <w:bCs/>
        </w:rPr>
      </w:pPr>
    </w:p>
    <w:p w:rsidR="00A47A35" w:rsidRDefault="003A3D9C" w:rsidP="00A47A35">
      <w:r w:rsidRPr="00AF08DD">
        <w:rPr>
          <w:b/>
          <w:bCs/>
        </w:rPr>
        <w:t>Textbooks:</w:t>
      </w:r>
      <w:r w:rsidR="00DC51B8">
        <w:rPr>
          <w:b/>
          <w:bCs/>
        </w:rPr>
        <w:t xml:space="preserve"> </w:t>
      </w:r>
      <w:proofErr w:type="spellStart"/>
      <w:r w:rsidR="00DC51B8">
        <w:rPr>
          <w:bCs/>
        </w:rPr>
        <w:t>Ovel</w:t>
      </w:r>
      <w:proofErr w:type="spellEnd"/>
      <w:r w:rsidR="00DC51B8">
        <w:rPr>
          <w:bCs/>
        </w:rPr>
        <w:t xml:space="preserve">, Susanna., Sonography Exam Review. </w:t>
      </w:r>
      <w:r w:rsidR="00AA65B8">
        <w:rPr>
          <w:bCs/>
        </w:rPr>
        <w:t>3rd</w:t>
      </w:r>
      <w:r w:rsidR="00DC51B8">
        <w:rPr>
          <w:bCs/>
        </w:rPr>
        <w:t xml:space="preserve"> Edition. </w:t>
      </w:r>
      <w:r w:rsidR="00141364">
        <w:t>St. Louis, Mo: Elsevier; 201</w:t>
      </w:r>
      <w:r w:rsidR="00AA65B8">
        <w:t>9.</w:t>
      </w:r>
    </w:p>
    <w:p w:rsidR="00DC51B8" w:rsidRPr="00AF08DD" w:rsidRDefault="00DC51B8"/>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r w:rsidR="00141364">
        <w:t>, SonoSim</w:t>
      </w:r>
      <w:r w:rsidR="00CF1BEC">
        <w:t>, Mock Examinations</w:t>
      </w:r>
    </w:p>
    <w:p w:rsidR="00C00886" w:rsidRPr="00AF08DD" w:rsidRDefault="00C00886" w:rsidP="00C00886"/>
    <w:p w:rsidR="00C00886" w:rsidRPr="00AF08DD" w:rsidRDefault="00C00886" w:rsidP="00C00886">
      <w:r w:rsidRPr="00AF08DD">
        <w:rPr>
          <w:b/>
          <w:bCs/>
        </w:rPr>
        <w:t xml:space="preserve">Code of Ethics:  </w:t>
      </w:r>
      <w:r w:rsidR="00141364">
        <w:t>DMS 44</w:t>
      </w:r>
      <w:r w:rsidR="00CF1BEC">
        <w:t>76</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690681" w:rsidRDefault="00387163" w:rsidP="00690681">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141364">
        <w:t>son</w:t>
      </w:r>
      <w:r w:rsidR="00A47A35">
        <w:t xml:space="preserve">ographers for </w:t>
      </w:r>
      <w:r w:rsidR="00CF1BEC">
        <w:t>the ARDMS board examinations. The students will review information given in their previous sonography principles &amp; instrumentation, abdomen, OB/GYN, and superficial structures courses. They will be required to complete multiple mock registry examinations to further prepare them for the tests.</w:t>
      </w:r>
      <w:r w:rsidR="00340FA4">
        <w:t xml:space="preserve"> Ultimately, </w:t>
      </w:r>
      <w:r w:rsidR="00141364">
        <w:t>the students will</w:t>
      </w:r>
      <w:r w:rsidR="00CF1BEC">
        <w:t xml:space="preserve"> be well equipped to earn their</w:t>
      </w:r>
      <w:r w:rsidR="003A46B5">
        <w:t xml:space="preserve"> RDMS credentials. </w:t>
      </w:r>
      <w:r w:rsidR="00141364">
        <w:t xml:space="preserve"> </w:t>
      </w:r>
    </w:p>
    <w:p w:rsidR="00690681" w:rsidRDefault="00854297" w:rsidP="00690681">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00690681">
        <w:rPr>
          <w:b/>
          <w:bCs/>
          <w:color w:val="000000"/>
        </w:rPr>
        <w:t>--Upon completion of this course, the students will be able to:</w:t>
      </w:r>
    </w:p>
    <w:p w:rsidR="00690681" w:rsidRDefault="00690681" w:rsidP="00690681">
      <w:pPr>
        <w:rPr>
          <w:b/>
          <w:bCs/>
          <w:color w:val="000000"/>
        </w:rPr>
      </w:pPr>
    </w:p>
    <w:p w:rsidR="003A46B5" w:rsidRDefault="003A46B5" w:rsidP="00690681">
      <w:pPr>
        <w:pStyle w:val="ListParagraph"/>
        <w:numPr>
          <w:ilvl w:val="0"/>
          <w:numId w:val="9"/>
        </w:numPr>
        <w:rPr>
          <w:color w:val="000000"/>
        </w:rPr>
      </w:pPr>
      <w:r>
        <w:rPr>
          <w:color w:val="000000"/>
        </w:rPr>
        <w:t>Understand the requirements for sitting for the national registry examinations</w:t>
      </w:r>
    </w:p>
    <w:p w:rsidR="003A46B5" w:rsidRDefault="003A46B5" w:rsidP="00690681">
      <w:pPr>
        <w:pStyle w:val="ListParagraph"/>
        <w:numPr>
          <w:ilvl w:val="0"/>
          <w:numId w:val="9"/>
        </w:numPr>
        <w:rPr>
          <w:color w:val="000000"/>
        </w:rPr>
      </w:pPr>
      <w:r>
        <w:rPr>
          <w:color w:val="000000"/>
        </w:rPr>
        <w:t>Discuss sonographic physics principles and instrumentation</w:t>
      </w:r>
    </w:p>
    <w:p w:rsidR="003A46B5" w:rsidRDefault="003A46B5" w:rsidP="00690681">
      <w:pPr>
        <w:pStyle w:val="ListParagraph"/>
        <w:numPr>
          <w:ilvl w:val="0"/>
          <w:numId w:val="9"/>
        </w:numPr>
        <w:rPr>
          <w:color w:val="000000"/>
        </w:rPr>
      </w:pPr>
      <w:r>
        <w:rPr>
          <w:color w:val="000000"/>
        </w:rPr>
        <w:t>Complete multiple mock registry examinations in SPI, Abdomen and OB/GYN specialties</w:t>
      </w:r>
    </w:p>
    <w:p w:rsidR="003A46B5" w:rsidRDefault="003A46B5" w:rsidP="00690681">
      <w:pPr>
        <w:pStyle w:val="ListParagraph"/>
        <w:numPr>
          <w:ilvl w:val="0"/>
          <w:numId w:val="9"/>
        </w:numPr>
        <w:rPr>
          <w:color w:val="000000"/>
        </w:rPr>
      </w:pPr>
      <w:r>
        <w:rPr>
          <w:color w:val="000000"/>
        </w:rPr>
        <w:t>Have a strong understanding of abdomen and superficial structures material tested on the ARDMS Abdomen board examination</w:t>
      </w:r>
    </w:p>
    <w:p w:rsidR="003A46B5" w:rsidRDefault="003A46B5" w:rsidP="00690681">
      <w:pPr>
        <w:pStyle w:val="ListParagraph"/>
        <w:numPr>
          <w:ilvl w:val="0"/>
          <w:numId w:val="9"/>
        </w:numPr>
        <w:rPr>
          <w:color w:val="000000"/>
        </w:rPr>
      </w:pPr>
      <w:r>
        <w:rPr>
          <w:color w:val="000000"/>
        </w:rPr>
        <w:t>Have a firm grasp on required OB/GYN sonographic material for the ARDMS OB/GYN examination</w:t>
      </w:r>
    </w:p>
    <w:p w:rsidR="00AA65B8" w:rsidRDefault="00AA65B8" w:rsidP="00AA65B8">
      <w:pPr>
        <w:pStyle w:val="ListParagraph"/>
        <w:rPr>
          <w:color w:val="000000"/>
        </w:rPr>
      </w:pPr>
    </w:p>
    <w:p w:rsidR="00AA65B8" w:rsidRDefault="00AA65B8" w:rsidP="00AA65B8">
      <w:pPr>
        <w:pStyle w:val="ListParagraph"/>
        <w:rPr>
          <w:color w:val="000000"/>
        </w:rPr>
      </w:pPr>
    </w:p>
    <w:p w:rsidR="00C00886" w:rsidRDefault="00C00886" w:rsidP="00C00886">
      <w:pPr>
        <w:pStyle w:val="NormalWeb"/>
      </w:pPr>
      <w:r>
        <w:rPr>
          <w:b/>
          <w:bCs/>
        </w:rPr>
        <w:lastRenderedPageBreak/>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EB0896" w:rsidRPr="00160822" w:rsidRDefault="00C00886" w:rsidP="00160822">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7072E7" w:rsidRDefault="007072E7" w:rsidP="00C00886">
      <w:pPr>
        <w:rPr>
          <w:color w:val="000000"/>
        </w:rPr>
      </w:pPr>
    </w:p>
    <w:p w:rsidR="00E71D29" w:rsidRPr="007A70DC" w:rsidRDefault="00C00886" w:rsidP="00C00886">
      <w:pPr>
        <w:rPr>
          <w:color w:val="000000"/>
        </w:rPr>
      </w:pP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3A46B5" w:rsidRPr="009E03AD" w:rsidTr="007072E7">
        <w:tc>
          <w:tcPr>
            <w:tcW w:w="6948" w:type="dxa"/>
            <w:tcBorders>
              <w:bottom w:val="single" w:sz="12" w:space="0" w:color="auto"/>
            </w:tcBorders>
          </w:tcPr>
          <w:p w:rsidR="003A46B5" w:rsidRDefault="003A46B5" w:rsidP="00E71D29">
            <w:pPr>
              <w:rPr>
                <w:color w:val="000000"/>
              </w:rPr>
            </w:pPr>
            <w:r>
              <w:rPr>
                <w:color w:val="000000"/>
              </w:rPr>
              <w:t>Mock Examinations (Best grade out of the 4</w:t>
            </w:r>
            <w:r w:rsidR="00AA65B8">
              <w:rPr>
                <w:color w:val="000000"/>
              </w:rPr>
              <w:t xml:space="preserve"> in-class</w:t>
            </w:r>
            <w:r>
              <w:rPr>
                <w:color w:val="000000"/>
              </w:rPr>
              <w:t xml:space="preserve"> examinations)</w:t>
            </w:r>
          </w:p>
        </w:tc>
        <w:tc>
          <w:tcPr>
            <w:tcW w:w="2070" w:type="dxa"/>
            <w:tcBorders>
              <w:bottom w:val="single" w:sz="12" w:space="0" w:color="auto"/>
            </w:tcBorders>
          </w:tcPr>
          <w:p w:rsidR="003A46B5" w:rsidRDefault="00AA65B8" w:rsidP="00E340B2">
            <w:r>
              <w:t>20</w:t>
            </w:r>
            <w:r w:rsidR="003A46B5">
              <w:t>%</w:t>
            </w:r>
          </w:p>
        </w:tc>
      </w:tr>
      <w:tr w:rsidR="003A46B5" w:rsidRPr="009E03AD" w:rsidTr="007072E7">
        <w:tc>
          <w:tcPr>
            <w:tcW w:w="6948" w:type="dxa"/>
            <w:tcBorders>
              <w:bottom w:val="single" w:sz="12" w:space="0" w:color="auto"/>
            </w:tcBorders>
          </w:tcPr>
          <w:p w:rsidR="003A46B5" w:rsidRDefault="00AA65B8" w:rsidP="00E71D29">
            <w:pPr>
              <w:rPr>
                <w:color w:val="000000"/>
              </w:rPr>
            </w:pPr>
            <w:r>
              <w:rPr>
                <w:color w:val="000000"/>
              </w:rPr>
              <w:t>Ultrasound Registry Review Abdomen Course</w:t>
            </w:r>
          </w:p>
        </w:tc>
        <w:tc>
          <w:tcPr>
            <w:tcW w:w="2070" w:type="dxa"/>
            <w:tcBorders>
              <w:bottom w:val="single" w:sz="12" w:space="0" w:color="auto"/>
            </w:tcBorders>
          </w:tcPr>
          <w:p w:rsidR="003A46B5" w:rsidRDefault="00AA65B8" w:rsidP="00E340B2">
            <w:r>
              <w:t>2</w:t>
            </w:r>
            <w:r w:rsidR="003A46B5">
              <w:t>0%</w:t>
            </w:r>
          </w:p>
        </w:tc>
      </w:tr>
      <w:tr w:rsidR="00AA65B8" w:rsidRPr="009E03AD" w:rsidTr="007072E7">
        <w:tc>
          <w:tcPr>
            <w:tcW w:w="6948" w:type="dxa"/>
            <w:tcBorders>
              <w:bottom w:val="single" w:sz="12" w:space="0" w:color="auto"/>
            </w:tcBorders>
          </w:tcPr>
          <w:p w:rsidR="00AA65B8" w:rsidRDefault="00AA65B8" w:rsidP="00E71D29">
            <w:pPr>
              <w:rPr>
                <w:color w:val="000000"/>
              </w:rPr>
            </w:pPr>
            <w:r>
              <w:rPr>
                <w:color w:val="000000"/>
              </w:rPr>
              <w:t>Ultrasound Registry Review OB/GYN Course</w:t>
            </w:r>
          </w:p>
        </w:tc>
        <w:tc>
          <w:tcPr>
            <w:tcW w:w="2070" w:type="dxa"/>
            <w:tcBorders>
              <w:bottom w:val="single" w:sz="12" w:space="0" w:color="auto"/>
            </w:tcBorders>
          </w:tcPr>
          <w:p w:rsidR="00AA65B8" w:rsidRDefault="00AA65B8" w:rsidP="00E340B2">
            <w:r>
              <w:t>20%</w:t>
            </w:r>
          </w:p>
        </w:tc>
      </w:tr>
      <w:tr w:rsidR="003A46B5" w:rsidRPr="009E03AD" w:rsidTr="003A46B5">
        <w:tc>
          <w:tcPr>
            <w:tcW w:w="6948" w:type="dxa"/>
            <w:tcBorders>
              <w:bottom w:val="single" w:sz="4" w:space="0" w:color="auto"/>
            </w:tcBorders>
          </w:tcPr>
          <w:p w:rsidR="003A46B5" w:rsidRDefault="003A46B5" w:rsidP="00E71D29">
            <w:pPr>
              <w:rPr>
                <w:color w:val="000000"/>
              </w:rPr>
            </w:pPr>
            <w:r>
              <w:rPr>
                <w:color w:val="000000"/>
              </w:rPr>
              <w:t xml:space="preserve">Elsevier Review Questions </w:t>
            </w:r>
          </w:p>
        </w:tc>
        <w:tc>
          <w:tcPr>
            <w:tcW w:w="2070" w:type="dxa"/>
            <w:tcBorders>
              <w:bottom w:val="single" w:sz="12" w:space="0" w:color="auto"/>
            </w:tcBorders>
          </w:tcPr>
          <w:p w:rsidR="003A46B5" w:rsidRDefault="00AA65B8" w:rsidP="00E340B2">
            <w:r>
              <w:t>4</w:t>
            </w:r>
            <w:r w:rsidR="003A46B5">
              <w:t>0%</w:t>
            </w:r>
          </w:p>
        </w:tc>
      </w:tr>
      <w:tr w:rsidR="00E71D29" w:rsidRPr="009E03AD" w:rsidTr="003A46B5">
        <w:tc>
          <w:tcPr>
            <w:tcW w:w="6948" w:type="dxa"/>
            <w:tcBorders>
              <w:top w:val="single" w:sz="4"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1E4E50" w:rsidRDefault="001E4E50" w:rsidP="00C00886"/>
    <w:p w:rsidR="00AA65B8" w:rsidRDefault="00AA65B8" w:rsidP="00C00886"/>
    <w:p w:rsidR="00AA65B8" w:rsidRDefault="00AA65B8" w:rsidP="00C00886">
      <w:bookmarkStart w:id="0" w:name="_GoBack"/>
      <w:bookmarkEnd w:id="0"/>
    </w:p>
    <w:p w:rsidR="00AA65B8" w:rsidRDefault="00AA65B8" w:rsidP="00C00886"/>
    <w:p w:rsidR="00AA65B8" w:rsidRDefault="00AA65B8" w:rsidP="00C00886"/>
    <w:p w:rsidR="00AA65B8" w:rsidRDefault="00AA65B8" w:rsidP="00C00886"/>
    <w:p w:rsidR="00AA65B8" w:rsidRDefault="00AA65B8" w:rsidP="00C00886"/>
    <w:p w:rsidR="00AA65B8" w:rsidRDefault="00AA65B8" w:rsidP="00C00886"/>
    <w:p w:rsidR="00AA65B8" w:rsidRDefault="00AA65B8"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 xml:space="preserve">Note: A grade of C or better is required in this course in order to receive a </w:t>
      </w:r>
      <w:r w:rsidR="00B76763">
        <w:rPr>
          <w:i/>
        </w:rPr>
        <w:t>certificate</w:t>
      </w:r>
      <w:r w:rsidRPr="00A84128">
        <w:rPr>
          <w:i/>
        </w:rPr>
        <w:t xml:space="preserv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C09B3">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143125" w:rsidRPr="007A70DC" w:rsidRDefault="00602C5F" w:rsidP="00602C5F">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C00886" w:rsidRDefault="003E3D23" w:rsidP="00CB3871">
      <w:r w:rsidRPr="003E3D23">
        <w:rPr>
          <w:b/>
          <w:bCs/>
        </w:rPr>
        <w:lastRenderedPageBreak/>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847" w:rsidRDefault="005C2847">
      <w:r>
        <w:separator/>
      </w:r>
    </w:p>
  </w:endnote>
  <w:endnote w:type="continuationSeparator" w:id="0">
    <w:p w:rsidR="005C2847" w:rsidRDefault="005C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847" w:rsidRDefault="005C2847">
      <w:r>
        <w:separator/>
      </w:r>
    </w:p>
  </w:footnote>
  <w:footnote w:type="continuationSeparator" w:id="0">
    <w:p w:rsidR="005C2847" w:rsidRDefault="005C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AC2C78">
      <w:rPr>
        <w:color w:val="000000"/>
      </w:rPr>
      <w:t>Diagnostic Medical Sonography</w:t>
    </w:r>
    <w:r w:rsidRPr="007A70DC">
      <w:rPr>
        <w:color w:val="000000"/>
      </w:rPr>
      <w:t xml:space="preserve"> </w:t>
    </w:r>
    <w:r w:rsidR="00DD3DFE">
      <w:rPr>
        <w:color w:val="000000"/>
      </w:rPr>
      <w:t>Program</w:t>
    </w:r>
    <w:r w:rsidRPr="007A70DC">
      <w:rPr>
        <w:color w:val="000000"/>
      </w:rPr>
      <w:br/>
    </w:r>
    <w:r w:rsidR="00AC2C78">
      <w:rPr>
        <w:color w:val="000000"/>
      </w:rPr>
      <w:t>DMS 44</w:t>
    </w:r>
    <w:r w:rsidR="000A748E">
      <w:rPr>
        <w:color w:val="000000"/>
      </w:rPr>
      <w:t>76 Sonography Registry Review</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24FF"/>
    <w:multiLevelType w:val="hybridMultilevel"/>
    <w:tmpl w:val="F4DE7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F4D9C"/>
    <w:multiLevelType w:val="hybridMultilevel"/>
    <w:tmpl w:val="6480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66222"/>
    <w:multiLevelType w:val="hybridMultilevel"/>
    <w:tmpl w:val="181E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8"/>
  </w:num>
  <w:num w:numId="4">
    <w:abstractNumId w:val="2"/>
  </w:num>
  <w:num w:numId="5">
    <w:abstractNumId w:val="3"/>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E"/>
    <w:rsid w:val="000013A3"/>
    <w:rsid w:val="000124A8"/>
    <w:rsid w:val="00016F00"/>
    <w:rsid w:val="000876B6"/>
    <w:rsid w:val="000A748E"/>
    <w:rsid w:val="000C0FF5"/>
    <w:rsid w:val="000D189E"/>
    <w:rsid w:val="000D5198"/>
    <w:rsid w:val="0014015D"/>
    <w:rsid w:val="00141364"/>
    <w:rsid w:val="00143125"/>
    <w:rsid w:val="00146845"/>
    <w:rsid w:val="001470FA"/>
    <w:rsid w:val="00160822"/>
    <w:rsid w:val="00166389"/>
    <w:rsid w:val="001B23EF"/>
    <w:rsid w:val="001C09B3"/>
    <w:rsid w:val="001E4E50"/>
    <w:rsid w:val="001F51A9"/>
    <w:rsid w:val="0022715C"/>
    <w:rsid w:val="002570D0"/>
    <w:rsid w:val="00267C5A"/>
    <w:rsid w:val="00286892"/>
    <w:rsid w:val="002E1651"/>
    <w:rsid w:val="002E57A0"/>
    <w:rsid w:val="002F3724"/>
    <w:rsid w:val="002F3C15"/>
    <w:rsid w:val="00340FA4"/>
    <w:rsid w:val="00387163"/>
    <w:rsid w:val="00392BF9"/>
    <w:rsid w:val="003A3D9C"/>
    <w:rsid w:val="003A46B5"/>
    <w:rsid w:val="003E1C0C"/>
    <w:rsid w:val="003E3D23"/>
    <w:rsid w:val="00404DFC"/>
    <w:rsid w:val="004061A3"/>
    <w:rsid w:val="00425A59"/>
    <w:rsid w:val="00434D27"/>
    <w:rsid w:val="00437750"/>
    <w:rsid w:val="00472E86"/>
    <w:rsid w:val="0049495A"/>
    <w:rsid w:val="00497802"/>
    <w:rsid w:val="004A7A34"/>
    <w:rsid w:val="004C13A7"/>
    <w:rsid w:val="004D6708"/>
    <w:rsid w:val="0052615B"/>
    <w:rsid w:val="0054203A"/>
    <w:rsid w:val="005934BA"/>
    <w:rsid w:val="005B0950"/>
    <w:rsid w:val="005C2847"/>
    <w:rsid w:val="005D726A"/>
    <w:rsid w:val="005E3BFE"/>
    <w:rsid w:val="00602C5F"/>
    <w:rsid w:val="006258F1"/>
    <w:rsid w:val="00643614"/>
    <w:rsid w:val="00657B56"/>
    <w:rsid w:val="0066695F"/>
    <w:rsid w:val="00690681"/>
    <w:rsid w:val="006946D0"/>
    <w:rsid w:val="00697F28"/>
    <w:rsid w:val="006C067C"/>
    <w:rsid w:val="006C32A1"/>
    <w:rsid w:val="006C593C"/>
    <w:rsid w:val="006F4128"/>
    <w:rsid w:val="00700876"/>
    <w:rsid w:val="007072E7"/>
    <w:rsid w:val="007A70DC"/>
    <w:rsid w:val="00844FAB"/>
    <w:rsid w:val="00845210"/>
    <w:rsid w:val="00854297"/>
    <w:rsid w:val="00866E75"/>
    <w:rsid w:val="008B5AE2"/>
    <w:rsid w:val="008F58AE"/>
    <w:rsid w:val="008F6388"/>
    <w:rsid w:val="008F6D93"/>
    <w:rsid w:val="00917AAE"/>
    <w:rsid w:val="00921715"/>
    <w:rsid w:val="00955DEA"/>
    <w:rsid w:val="00965051"/>
    <w:rsid w:val="00967161"/>
    <w:rsid w:val="00967CCF"/>
    <w:rsid w:val="00983235"/>
    <w:rsid w:val="0098708A"/>
    <w:rsid w:val="009C3A67"/>
    <w:rsid w:val="009C56C5"/>
    <w:rsid w:val="009E2733"/>
    <w:rsid w:val="009E5DA6"/>
    <w:rsid w:val="009F15CC"/>
    <w:rsid w:val="00A26031"/>
    <w:rsid w:val="00A42F1D"/>
    <w:rsid w:val="00A47A35"/>
    <w:rsid w:val="00A7291C"/>
    <w:rsid w:val="00A72EB7"/>
    <w:rsid w:val="00A77ED1"/>
    <w:rsid w:val="00AA56FB"/>
    <w:rsid w:val="00AA65B8"/>
    <w:rsid w:val="00AC2C78"/>
    <w:rsid w:val="00AD3997"/>
    <w:rsid w:val="00AE7249"/>
    <w:rsid w:val="00AF08DD"/>
    <w:rsid w:val="00AF3DB2"/>
    <w:rsid w:val="00B222F0"/>
    <w:rsid w:val="00B4092C"/>
    <w:rsid w:val="00B40ED5"/>
    <w:rsid w:val="00B56653"/>
    <w:rsid w:val="00B76763"/>
    <w:rsid w:val="00B90FE5"/>
    <w:rsid w:val="00BD4AD1"/>
    <w:rsid w:val="00BE3D7A"/>
    <w:rsid w:val="00C00886"/>
    <w:rsid w:val="00C26780"/>
    <w:rsid w:val="00C839E2"/>
    <w:rsid w:val="00CA552A"/>
    <w:rsid w:val="00CB1766"/>
    <w:rsid w:val="00CB3871"/>
    <w:rsid w:val="00CD5D6C"/>
    <w:rsid w:val="00CF1BEC"/>
    <w:rsid w:val="00D15AE9"/>
    <w:rsid w:val="00D724FE"/>
    <w:rsid w:val="00D7467D"/>
    <w:rsid w:val="00DA2DDA"/>
    <w:rsid w:val="00DA51B5"/>
    <w:rsid w:val="00DC509B"/>
    <w:rsid w:val="00DC51B8"/>
    <w:rsid w:val="00DD143D"/>
    <w:rsid w:val="00DD3DFE"/>
    <w:rsid w:val="00DF5FC1"/>
    <w:rsid w:val="00E340B2"/>
    <w:rsid w:val="00E71D29"/>
    <w:rsid w:val="00E90571"/>
    <w:rsid w:val="00E92A22"/>
    <w:rsid w:val="00E964A5"/>
    <w:rsid w:val="00EB0896"/>
    <w:rsid w:val="00EB59BA"/>
    <w:rsid w:val="00F076B7"/>
    <w:rsid w:val="00F21929"/>
    <w:rsid w:val="00F35C5A"/>
    <w:rsid w:val="00F40047"/>
    <w:rsid w:val="00F401B3"/>
    <w:rsid w:val="00F4576C"/>
    <w:rsid w:val="00F73494"/>
    <w:rsid w:val="00F83D92"/>
    <w:rsid w:val="00F94A19"/>
    <w:rsid w:val="00FC0EC2"/>
    <w:rsid w:val="00FD40D9"/>
    <w:rsid w:val="00FE2397"/>
    <w:rsid w:val="00FE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ADE87"/>
  <w15:docId w15:val="{64A58496-67A3-B64E-84A4-4730FEA7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69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837D-6AB2-4C09-B8A1-1AE358A4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7130</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2020-10-26T21:19:00Z</dcterms:created>
  <dcterms:modified xsi:type="dcterms:W3CDTF">2020-10-26T21:19:00Z</dcterms:modified>
</cp:coreProperties>
</file>