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AE45EF">
            <w:pPr>
              <w:rPr>
                <w:b/>
                <w:bCs/>
              </w:rPr>
            </w:pPr>
            <w:r>
              <w:t>1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AE45EF" w:rsidP="00CD5D6C">
            <w:r>
              <w:t>Thursday</w:t>
            </w:r>
            <w:r w:rsidR="00CD5D6C" w:rsidRPr="00AF08DD">
              <w:t>:</w:t>
            </w:r>
            <w:r w:rsidR="00A47A35" w:rsidRPr="00AF08DD">
              <w:t xml:space="preserve"> </w:t>
            </w:r>
            <w:r w:rsidR="00CD5D6C" w:rsidRPr="00AF08DD">
              <w:t xml:space="preserve">Class </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E45EF" w:rsidP="00A47A35">
            <w:pPr>
              <w:rPr>
                <w:b/>
                <w:bCs/>
              </w:rPr>
            </w:pPr>
            <w:r>
              <w:t>Chelsie Wheatley, BSRS, BSDMS,</w:t>
            </w:r>
            <w:r w:rsidR="00A47A35" w:rsidRPr="00AF08DD">
              <w:t xml:space="preserve"> RT(R)</w:t>
            </w:r>
            <w:r>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E45EF" w:rsidP="009F15CC">
            <w:pPr>
              <w:rPr>
                <w:b/>
                <w:bCs/>
              </w:rPr>
            </w:pPr>
            <w:r>
              <w:t>208-2</w:t>
            </w:r>
            <w:r w:rsidR="00544012">
              <w:t>82-3311</w:t>
            </w:r>
            <w:r w:rsidR="00A47A35" w:rsidRPr="00AF08DD">
              <w:t xml:space="preserve"> or 282-4042 (Secretary, </w:t>
            </w:r>
            <w:r>
              <w:t>Alyssa</w:t>
            </w:r>
            <w:r w:rsidR="00A47A35" w:rsidRPr="00AF08DD">
              <w:t>)</w:t>
            </w:r>
          </w:p>
        </w:tc>
      </w:tr>
    </w:tbl>
    <w:p w:rsidR="00C00886" w:rsidRPr="00AF08DD" w:rsidRDefault="00C00886">
      <w:pPr>
        <w:rPr>
          <w:b/>
          <w:bCs/>
        </w:rPr>
      </w:pPr>
    </w:p>
    <w:p w:rsidR="00AE45EF" w:rsidRDefault="00A47A35" w:rsidP="003A3D9C">
      <w:r w:rsidRPr="00AF08DD">
        <w:rPr>
          <w:b/>
          <w:bCs/>
        </w:rPr>
        <w:t>Overview:</w:t>
      </w:r>
      <w:r w:rsidRPr="00AF08DD">
        <w:rPr>
          <w:b/>
        </w:rPr>
        <w:t xml:space="preserve">  </w:t>
      </w:r>
      <w:r w:rsidR="002F3724" w:rsidRPr="00AF08DD">
        <w:t>This course</w:t>
      </w:r>
      <w:r w:rsidR="00AE45EF">
        <w:t xml:space="preserve"> covers a number of common case studies and teaching files presented with images in different projections to point out specific features, anomalies, pathology, or disease processes. Information gathered in this course will be used to further sonographic practice and to assist the student in passing the ARDMS specialty examination. It will give students a deeper understanding for various pathologies, scanning techniques, and physics principles. </w:t>
      </w:r>
    </w:p>
    <w:p w:rsidR="002F3724" w:rsidRPr="00AF08DD" w:rsidRDefault="002F3724" w:rsidP="003A3D9C">
      <w:pPr>
        <w:rPr>
          <w:b/>
          <w:bCs/>
        </w:rPr>
      </w:pPr>
    </w:p>
    <w:p w:rsidR="00A47A35" w:rsidRPr="00AF08DD" w:rsidRDefault="003A3D9C" w:rsidP="00A47A35">
      <w:r w:rsidRPr="00AF08DD">
        <w:rPr>
          <w:b/>
          <w:bCs/>
        </w:rPr>
        <w:t>Textbooks:</w:t>
      </w:r>
      <w:r w:rsidRPr="00AE45EF">
        <w:t xml:space="preserve"> </w:t>
      </w:r>
      <w:r w:rsidR="00AE45EF" w:rsidRPr="00AE45EF">
        <w:t xml:space="preserve">No textbook will be necessary for this course however, students must have a current </w:t>
      </w:r>
      <w:r w:rsidR="008354E5">
        <w:t xml:space="preserve">student </w:t>
      </w:r>
      <w:r w:rsidR="00AE45EF" w:rsidRPr="00AE45EF">
        <w:t>SDMS membership.</w:t>
      </w:r>
      <w:r w:rsidR="00AE45EF">
        <w:rPr>
          <w:b/>
        </w:rPr>
        <w:t xml:space="preserve"> </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xml:space="preserve">, </w:t>
      </w:r>
      <w:r w:rsidR="00AE45EF">
        <w:t>SDMS Webinars,</w:t>
      </w:r>
      <w:r w:rsidR="00BE7310">
        <w:t xml:space="preserve"> Student Presentations,</w:t>
      </w:r>
      <w:r w:rsidR="00AE45EF">
        <w:t xml:space="preserve"> Moodle Supplement</w:t>
      </w:r>
    </w:p>
    <w:p w:rsidR="00C00886" w:rsidRPr="00AF08DD" w:rsidRDefault="00C00886" w:rsidP="00C00886"/>
    <w:p w:rsidR="00C00886" w:rsidRPr="00AF08DD" w:rsidRDefault="00C00886" w:rsidP="00C00886">
      <w:r w:rsidRPr="00AF08DD">
        <w:rPr>
          <w:b/>
          <w:bCs/>
        </w:rPr>
        <w:t xml:space="preserve">Code of Ethics:  </w:t>
      </w:r>
      <w:r w:rsidR="00AE45EF">
        <w:t>DMS 4413</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8354E5" w:rsidRDefault="00387163" w:rsidP="008354E5">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8354E5">
        <w:t xml:space="preserve">This course has been designed to further the understanding of pathologies, normal function, and physics principles of sonography. It is meant to help bridge the gap between the class setting and the clinical field. It will help prepare the student sonographers for the many different things they will see during their career. By the end of this course, the student will demonstrate further understanding of abdominal vasculature, liver pathologies, the female pelvis, gallbladder and biliary tree pathologies, the spleen, infertility issues, </w:t>
      </w:r>
      <w:r w:rsidR="00BE7310">
        <w:t xml:space="preserve">and </w:t>
      </w:r>
      <w:r w:rsidR="008354E5">
        <w:t>physics</w:t>
      </w:r>
      <w:r w:rsidR="00BE7310">
        <w:t>.</w:t>
      </w:r>
    </w:p>
    <w:p w:rsidR="008354E5"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p>
    <w:p w:rsidR="008354E5" w:rsidRPr="00BE7310" w:rsidRDefault="008354E5" w:rsidP="008354E5">
      <w:pPr>
        <w:pStyle w:val="ListParagraph"/>
        <w:numPr>
          <w:ilvl w:val="0"/>
          <w:numId w:val="7"/>
        </w:numPr>
        <w:rPr>
          <w:color w:val="000000"/>
        </w:rPr>
      </w:pPr>
      <w:r w:rsidRPr="00BE7310">
        <w:rPr>
          <w:bCs/>
          <w:color w:val="000000"/>
        </w:rPr>
        <w:t xml:space="preserve">Demonstrate understanding of abdominal aortic aneurysms, their cause, risks, sonographic appearance, and clinical presentation. </w:t>
      </w:r>
    </w:p>
    <w:p w:rsidR="008354E5" w:rsidRPr="00BE7310" w:rsidRDefault="008354E5" w:rsidP="008354E5">
      <w:pPr>
        <w:pStyle w:val="ListParagraph"/>
        <w:numPr>
          <w:ilvl w:val="0"/>
          <w:numId w:val="7"/>
        </w:numPr>
        <w:rPr>
          <w:color w:val="000000"/>
        </w:rPr>
      </w:pPr>
      <w:r w:rsidRPr="00BE7310">
        <w:rPr>
          <w:bCs/>
          <w:color w:val="000000"/>
        </w:rPr>
        <w:t>Discuss findings in online webinars relating to abdominal vasculature abnormalities.</w:t>
      </w:r>
    </w:p>
    <w:p w:rsidR="008354E5" w:rsidRPr="00BE7310" w:rsidRDefault="008354E5" w:rsidP="008354E5">
      <w:pPr>
        <w:pStyle w:val="ListParagraph"/>
        <w:numPr>
          <w:ilvl w:val="0"/>
          <w:numId w:val="7"/>
        </w:numPr>
        <w:rPr>
          <w:color w:val="000000"/>
        </w:rPr>
      </w:pPr>
      <w:r w:rsidRPr="00BE7310">
        <w:rPr>
          <w:bCs/>
          <w:color w:val="000000"/>
        </w:rPr>
        <w:t xml:space="preserve">Identify multiple liver pathologies and explain them in depth. </w:t>
      </w:r>
    </w:p>
    <w:p w:rsidR="008354E5" w:rsidRPr="00BE7310" w:rsidRDefault="008354E5" w:rsidP="008354E5">
      <w:pPr>
        <w:pStyle w:val="ListParagraph"/>
        <w:numPr>
          <w:ilvl w:val="0"/>
          <w:numId w:val="7"/>
        </w:numPr>
        <w:rPr>
          <w:color w:val="000000"/>
        </w:rPr>
      </w:pPr>
      <w:r w:rsidRPr="00BE7310">
        <w:rPr>
          <w:bCs/>
          <w:color w:val="000000"/>
        </w:rPr>
        <w:t xml:space="preserve">Discuss different techniques for accurate hemodynamic analysis. </w:t>
      </w:r>
    </w:p>
    <w:p w:rsidR="008354E5" w:rsidRPr="00BE7310" w:rsidRDefault="008354E5" w:rsidP="008354E5">
      <w:pPr>
        <w:pStyle w:val="ListParagraph"/>
        <w:numPr>
          <w:ilvl w:val="0"/>
          <w:numId w:val="7"/>
        </w:numPr>
        <w:rPr>
          <w:color w:val="000000"/>
        </w:rPr>
      </w:pPr>
      <w:r w:rsidRPr="00BE7310">
        <w:rPr>
          <w:bCs/>
          <w:color w:val="000000"/>
        </w:rPr>
        <w:t xml:space="preserve">Define multiple female pelvic pathologies and identify them sonographically. </w:t>
      </w:r>
    </w:p>
    <w:p w:rsidR="008354E5" w:rsidRPr="00BE7310" w:rsidRDefault="008354E5" w:rsidP="008354E5">
      <w:pPr>
        <w:pStyle w:val="ListParagraph"/>
        <w:numPr>
          <w:ilvl w:val="0"/>
          <w:numId w:val="7"/>
        </w:numPr>
        <w:rPr>
          <w:color w:val="000000"/>
        </w:rPr>
      </w:pPr>
      <w:r w:rsidRPr="00BE7310">
        <w:rPr>
          <w:bCs/>
          <w:color w:val="000000"/>
        </w:rPr>
        <w:t xml:space="preserve">Identify gallbladder pathologies and compare and contrast them. </w:t>
      </w:r>
    </w:p>
    <w:p w:rsidR="008354E5" w:rsidRPr="00BE7310" w:rsidRDefault="008354E5" w:rsidP="008354E5">
      <w:pPr>
        <w:pStyle w:val="ListParagraph"/>
        <w:numPr>
          <w:ilvl w:val="0"/>
          <w:numId w:val="7"/>
        </w:numPr>
        <w:rPr>
          <w:color w:val="000000"/>
        </w:rPr>
      </w:pPr>
      <w:r w:rsidRPr="00BE7310">
        <w:rPr>
          <w:bCs/>
          <w:color w:val="000000"/>
        </w:rPr>
        <w:t xml:space="preserve">Explain biliary ductal abnormalities. </w:t>
      </w:r>
    </w:p>
    <w:p w:rsidR="008354E5" w:rsidRPr="00BE7310" w:rsidRDefault="008354E5" w:rsidP="008354E5">
      <w:pPr>
        <w:pStyle w:val="ListParagraph"/>
        <w:numPr>
          <w:ilvl w:val="0"/>
          <w:numId w:val="7"/>
        </w:numPr>
        <w:rPr>
          <w:color w:val="000000"/>
        </w:rPr>
      </w:pPr>
      <w:r w:rsidRPr="00BE7310">
        <w:rPr>
          <w:bCs/>
          <w:color w:val="000000"/>
        </w:rPr>
        <w:t xml:space="preserve">Discuss female infertility and the protocols for scanning patients receiving care for this. </w:t>
      </w:r>
    </w:p>
    <w:p w:rsidR="008354E5" w:rsidRPr="00544012" w:rsidRDefault="008354E5" w:rsidP="008354E5">
      <w:pPr>
        <w:pStyle w:val="ListParagraph"/>
        <w:numPr>
          <w:ilvl w:val="0"/>
          <w:numId w:val="7"/>
        </w:numPr>
        <w:rPr>
          <w:color w:val="000000"/>
        </w:rPr>
      </w:pPr>
      <w:r w:rsidRPr="00BE7310">
        <w:rPr>
          <w:bCs/>
          <w:color w:val="000000"/>
        </w:rPr>
        <w:lastRenderedPageBreak/>
        <w:t>Identify splenic abnormalities and discuss them.</w:t>
      </w:r>
    </w:p>
    <w:p w:rsidR="00544012" w:rsidRDefault="00544012" w:rsidP="008354E5">
      <w:pPr>
        <w:pStyle w:val="ListParagraph"/>
        <w:numPr>
          <w:ilvl w:val="0"/>
          <w:numId w:val="7"/>
        </w:numPr>
        <w:rPr>
          <w:color w:val="000000"/>
        </w:rPr>
      </w:pPr>
      <w:r>
        <w:rPr>
          <w:color w:val="000000"/>
        </w:rPr>
        <w:t>Discuss inclusion and diversity in Healthcare.</w:t>
      </w:r>
    </w:p>
    <w:p w:rsidR="00544012" w:rsidRPr="00BE7310" w:rsidRDefault="00544012" w:rsidP="008354E5">
      <w:pPr>
        <w:pStyle w:val="ListParagraph"/>
        <w:numPr>
          <w:ilvl w:val="0"/>
          <w:numId w:val="7"/>
        </w:numPr>
        <w:rPr>
          <w:color w:val="000000"/>
        </w:rPr>
      </w:pPr>
      <w:r>
        <w:rPr>
          <w:color w:val="000000"/>
        </w:rPr>
        <w:t>Define the importance of ergonomics and the possibilities for MSK injuries in the field of sonography.</w:t>
      </w:r>
    </w:p>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EB0896" w:rsidRPr="008354E5" w:rsidRDefault="00C00886" w:rsidP="008354E5">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7072E7"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class regularly.  It is your responsibility to maintain a level of attendance which will allow you to derive maximum benefit from the instruction.  Excessive absences (&gt;10%) will result in a lower course grade if you are borderline between two grades.  </w:t>
      </w:r>
      <w:r w:rsidR="008354E5">
        <w:rPr>
          <w:color w:val="000000"/>
        </w:rPr>
        <w:t xml:space="preserve">You are expected to present on every topic assigned. If you miss a day of presentations, it is your responsibility to find a time to present to the class. </w:t>
      </w:r>
    </w:p>
    <w:p w:rsidR="00544012" w:rsidRDefault="00544012" w:rsidP="00C00886"/>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p w:rsidR="00544012" w:rsidRDefault="00544012"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8354E5" w:rsidP="00921715">
            <w:pPr>
              <w:rPr>
                <w:color w:val="000000"/>
              </w:rPr>
            </w:pPr>
            <w:r>
              <w:rPr>
                <w:color w:val="000000"/>
              </w:rPr>
              <w:t>Presentations</w:t>
            </w:r>
          </w:p>
        </w:tc>
        <w:tc>
          <w:tcPr>
            <w:tcW w:w="2070" w:type="dxa"/>
          </w:tcPr>
          <w:p w:rsidR="00E71D29" w:rsidRPr="009E03AD" w:rsidRDefault="00544012" w:rsidP="00E340B2">
            <w:r>
              <w:t>6</w:t>
            </w:r>
            <w:r w:rsidR="008354E5">
              <w:t>0%</w:t>
            </w:r>
          </w:p>
        </w:tc>
      </w:tr>
      <w:tr w:rsidR="00E71D29" w:rsidRPr="009E03AD" w:rsidTr="00E340B2">
        <w:tc>
          <w:tcPr>
            <w:tcW w:w="6948" w:type="dxa"/>
          </w:tcPr>
          <w:p w:rsidR="00E71D29" w:rsidRPr="007A70DC" w:rsidRDefault="008354E5" w:rsidP="00921715">
            <w:pPr>
              <w:rPr>
                <w:color w:val="000000"/>
              </w:rPr>
            </w:pPr>
            <w:r>
              <w:rPr>
                <w:color w:val="000000"/>
              </w:rPr>
              <w:t>Webinars</w:t>
            </w:r>
          </w:p>
        </w:tc>
        <w:tc>
          <w:tcPr>
            <w:tcW w:w="2070" w:type="dxa"/>
          </w:tcPr>
          <w:p w:rsidR="00E71D29" w:rsidRPr="009E03AD" w:rsidRDefault="008354E5" w:rsidP="00E340B2">
            <w:r>
              <w:t>40%</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544012" w:rsidRDefault="00544012" w:rsidP="00C00886"/>
    <w:p w:rsidR="00544012" w:rsidRDefault="00544012" w:rsidP="00C00886"/>
    <w:p w:rsidR="00544012" w:rsidRDefault="00544012" w:rsidP="00C00886"/>
    <w:p w:rsidR="00544012" w:rsidRDefault="00544012" w:rsidP="00C00886"/>
    <w:p w:rsidR="00544012" w:rsidRDefault="00544012" w:rsidP="00C00886"/>
    <w:p w:rsidR="00544012" w:rsidRDefault="00544012" w:rsidP="00E71D29">
      <w:pPr>
        <w:jc w:val="center"/>
        <w:rPr>
          <w:b/>
        </w:rPr>
      </w:pPr>
    </w:p>
    <w:p w:rsidR="00E71D29" w:rsidRPr="00531897" w:rsidRDefault="00E71D29" w:rsidP="00E71D29">
      <w:pPr>
        <w:jc w:val="center"/>
        <w:rPr>
          <w:b/>
        </w:rPr>
      </w:pPr>
      <w:r w:rsidRPr="00531897">
        <w:rPr>
          <w:b/>
        </w:rPr>
        <w:lastRenderedPageBreak/>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8354E5">
        <w:rPr>
          <w:color w:val="000000"/>
        </w:rPr>
        <w:t>no</w:t>
      </w:r>
      <w:r w:rsidRPr="007A70DC">
        <w:rPr>
          <w:color w:val="000000"/>
        </w:rPr>
        <w:t xml:space="preserve"> 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w:t>
      </w:r>
      <w:r w:rsidR="008354E5">
        <w:rPr>
          <w:color w:val="000000"/>
        </w:rPr>
        <w:t>present on an assigned topic on the assigned day</w:t>
      </w:r>
      <w:r w:rsidRPr="007A70DC">
        <w:rPr>
          <w:color w:val="000000"/>
        </w:rPr>
        <w:t xml:space="preserve">, you may request a make-up </w:t>
      </w:r>
      <w:r w:rsidR="008354E5">
        <w:rPr>
          <w:color w:val="000000"/>
        </w:rPr>
        <w:t>time to present</w:t>
      </w:r>
      <w:r w:rsidRPr="007A70DC">
        <w:rPr>
          <w:color w:val="000000"/>
        </w:rPr>
        <w:t xml:space="preserve">.  You must inform me that you will not be present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xml:space="preserve">% drop in the </w:t>
      </w:r>
      <w:r w:rsidR="008354E5">
        <w:rPr>
          <w:color w:val="000000"/>
        </w:rPr>
        <w:t>presentation</w:t>
      </w:r>
      <w:r w:rsidRPr="007A70DC">
        <w:rPr>
          <w:color w:val="000000"/>
        </w:rPr>
        <w:t xml:space="preserve"> grade will result if prior notification is not given</w:t>
      </w:r>
      <w:r w:rsidR="00602C5F" w:rsidRPr="007A70DC">
        <w:rPr>
          <w:color w:val="000000"/>
        </w:rPr>
        <w:t xml:space="preserve"> and is not accepted by me.</w:t>
      </w:r>
      <w:r w:rsidRPr="007A70DC">
        <w:rPr>
          <w:color w:val="000000"/>
        </w:rPr>
        <w:t xml:space="preserve">  The highest grade you can receive for a make-up </w:t>
      </w:r>
      <w:r w:rsidR="008354E5">
        <w:rPr>
          <w:color w:val="000000"/>
        </w:rPr>
        <w:t>presentation</w:t>
      </w:r>
      <w:r w:rsidRPr="007A70DC">
        <w:rPr>
          <w:color w:val="000000"/>
        </w:rPr>
        <w:t xml:space="preserve">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 xml:space="preserve">m very easy to catch with email, but make sure your email is received by me prior to the </w:t>
      </w:r>
      <w:r w:rsidR="00544012">
        <w:rPr>
          <w:color w:val="000000"/>
        </w:rPr>
        <w:t>presentation</w:t>
      </w:r>
      <w:r w:rsidR="00CB3871" w:rsidRPr="007A70DC">
        <w:rPr>
          <w:color w:val="000000"/>
        </w:rPr>
        <w:t xml:space="preserve"> deadline.</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bookmarkStart w:id="0" w:name="_GoBack"/>
      <w:bookmarkEnd w:id="0"/>
    </w:p>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B10" w:rsidRDefault="00950B10">
      <w:r>
        <w:separator/>
      </w:r>
    </w:p>
  </w:endnote>
  <w:endnote w:type="continuationSeparator" w:id="0">
    <w:p w:rsidR="00950B10" w:rsidRDefault="0095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B10" w:rsidRDefault="00950B10">
      <w:r>
        <w:separator/>
      </w:r>
    </w:p>
  </w:footnote>
  <w:footnote w:type="continuationSeparator" w:id="0">
    <w:p w:rsidR="00950B10" w:rsidRDefault="00950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AE45EF">
      <w:rPr>
        <w:color w:val="000000"/>
      </w:rPr>
      <w:t>Diagnostic Medical Sonography Program</w:t>
    </w:r>
    <w:r w:rsidRPr="007A70DC">
      <w:rPr>
        <w:color w:val="000000"/>
      </w:rPr>
      <w:br/>
    </w:r>
    <w:r w:rsidR="00AE45EF">
      <w:rPr>
        <w:color w:val="000000"/>
      </w:rPr>
      <w:t>DMS 4413 Sonography Case Studies</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C2B8E"/>
    <w:multiLevelType w:val="hybridMultilevel"/>
    <w:tmpl w:val="399C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EF"/>
    <w:rsid w:val="000013A3"/>
    <w:rsid w:val="00016F00"/>
    <w:rsid w:val="000C0FF5"/>
    <w:rsid w:val="000D189E"/>
    <w:rsid w:val="0014015D"/>
    <w:rsid w:val="00143125"/>
    <w:rsid w:val="00146845"/>
    <w:rsid w:val="001470FA"/>
    <w:rsid w:val="00166389"/>
    <w:rsid w:val="001B23EF"/>
    <w:rsid w:val="001F51A9"/>
    <w:rsid w:val="002570D0"/>
    <w:rsid w:val="00267C5A"/>
    <w:rsid w:val="00286892"/>
    <w:rsid w:val="002E1651"/>
    <w:rsid w:val="002E57A0"/>
    <w:rsid w:val="002F3724"/>
    <w:rsid w:val="002F3C15"/>
    <w:rsid w:val="00387163"/>
    <w:rsid w:val="00392BF9"/>
    <w:rsid w:val="003A3D9C"/>
    <w:rsid w:val="003E1C0C"/>
    <w:rsid w:val="003E3D23"/>
    <w:rsid w:val="00404DFC"/>
    <w:rsid w:val="004061A3"/>
    <w:rsid w:val="00425A59"/>
    <w:rsid w:val="00437750"/>
    <w:rsid w:val="00472E86"/>
    <w:rsid w:val="0049495A"/>
    <w:rsid w:val="00497802"/>
    <w:rsid w:val="004A7A34"/>
    <w:rsid w:val="004D6708"/>
    <w:rsid w:val="0052615B"/>
    <w:rsid w:val="0054203A"/>
    <w:rsid w:val="00544012"/>
    <w:rsid w:val="005934BA"/>
    <w:rsid w:val="005B0950"/>
    <w:rsid w:val="005D726A"/>
    <w:rsid w:val="005E5DCD"/>
    <w:rsid w:val="00602C5F"/>
    <w:rsid w:val="006120C6"/>
    <w:rsid w:val="006258F1"/>
    <w:rsid w:val="00643614"/>
    <w:rsid w:val="00657B56"/>
    <w:rsid w:val="0066695F"/>
    <w:rsid w:val="00670A97"/>
    <w:rsid w:val="006946D0"/>
    <w:rsid w:val="00697F28"/>
    <w:rsid w:val="006C067C"/>
    <w:rsid w:val="006C32A1"/>
    <w:rsid w:val="006F4128"/>
    <w:rsid w:val="00700876"/>
    <w:rsid w:val="007072E7"/>
    <w:rsid w:val="007733AC"/>
    <w:rsid w:val="007A70DC"/>
    <w:rsid w:val="008354E5"/>
    <w:rsid w:val="00844FAB"/>
    <w:rsid w:val="00845210"/>
    <w:rsid w:val="00854297"/>
    <w:rsid w:val="00866E75"/>
    <w:rsid w:val="008B5AE2"/>
    <w:rsid w:val="008F6388"/>
    <w:rsid w:val="008F6D93"/>
    <w:rsid w:val="00917AAE"/>
    <w:rsid w:val="00921715"/>
    <w:rsid w:val="00950B10"/>
    <w:rsid w:val="00965051"/>
    <w:rsid w:val="00967CCF"/>
    <w:rsid w:val="00983235"/>
    <w:rsid w:val="009C3A67"/>
    <w:rsid w:val="009C56C5"/>
    <w:rsid w:val="009E2733"/>
    <w:rsid w:val="009E5DA6"/>
    <w:rsid w:val="009F15CC"/>
    <w:rsid w:val="00A26031"/>
    <w:rsid w:val="00A42F1D"/>
    <w:rsid w:val="00A47A35"/>
    <w:rsid w:val="00A7291C"/>
    <w:rsid w:val="00A72EB7"/>
    <w:rsid w:val="00A77ED1"/>
    <w:rsid w:val="00AD3997"/>
    <w:rsid w:val="00AE45EF"/>
    <w:rsid w:val="00AF08DD"/>
    <w:rsid w:val="00AF3DB2"/>
    <w:rsid w:val="00B222F0"/>
    <w:rsid w:val="00B4092C"/>
    <w:rsid w:val="00B40ED5"/>
    <w:rsid w:val="00B56653"/>
    <w:rsid w:val="00B90FE5"/>
    <w:rsid w:val="00BD4AD1"/>
    <w:rsid w:val="00BE3D7A"/>
    <w:rsid w:val="00BE7310"/>
    <w:rsid w:val="00C00886"/>
    <w:rsid w:val="00C839E2"/>
    <w:rsid w:val="00CA552A"/>
    <w:rsid w:val="00CB1766"/>
    <w:rsid w:val="00CB3871"/>
    <w:rsid w:val="00CD5D6C"/>
    <w:rsid w:val="00D724FE"/>
    <w:rsid w:val="00D7467D"/>
    <w:rsid w:val="00DC509B"/>
    <w:rsid w:val="00DD143D"/>
    <w:rsid w:val="00DD3DFE"/>
    <w:rsid w:val="00DF5FC1"/>
    <w:rsid w:val="00E340B2"/>
    <w:rsid w:val="00E71D29"/>
    <w:rsid w:val="00E90571"/>
    <w:rsid w:val="00E92A22"/>
    <w:rsid w:val="00E964A5"/>
    <w:rsid w:val="00EB0896"/>
    <w:rsid w:val="00EB59BA"/>
    <w:rsid w:val="00F076B7"/>
    <w:rsid w:val="00F35C5A"/>
    <w:rsid w:val="00F40047"/>
    <w:rsid w:val="00F401B3"/>
    <w:rsid w:val="00F4576C"/>
    <w:rsid w:val="00F73494"/>
    <w:rsid w:val="00F83D92"/>
    <w:rsid w:val="00F94A19"/>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4671F"/>
  <w15:docId w15:val="{B00EC5FD-E114-7842-9287-DF70142B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835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8601-C497-480F-9AED-24C5FD31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6474</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2021-05-14T16:14:00Z</dcterms:created>
  <dcterms:modified xsi:type="dcterms:W3CDTF">2021-05-14T16:14:00Z</dcterms:modified>
</cp:coreProperties>
</file>