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4020CD" w:rsidRDefault="003D45C3">
            <w:pPr>
              <w:rPr>
                <w:bCs/>
              </w:rPr>
            </w:pPr>
            <w:r>
              <w:rPr>
                <w:bCs/>
              </w:rPr>
              <w:t>2</w:t>
            </w:r>
            <w:r w:rsidR="004020CD">
              <w:rPr>
                <w:bCs/>
              </w:rPr>
              <w:t xml:space="preserve"> Credit</w:t>
            </w:r>
            <w:r>
              <w:rPr>
                <w:bCs/>
              </w:rPr>
              <w:t>s</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r w:rsidR="00CD5D6C" w:rsidRPr="00AF08DD">
              <w:t>:</w:t>
            </w:r>
            <w:r w:rsidR="00A47A35" w:rsidRPr="00AF08DD">
              <w:t xml:space="preserve"> </w:t>
            </w:r>
            <w:r w:rsidR="00CD5D6C" w:rsidRPr="00AF08DD">
              <w:t>Class</w:t>
            </w:r>
            <w:r w:rsidR="00A47A35" w:rsidRPr="00AF08DD">
              <w:t xml:space="preserve"> </w:t>
            </w:r>
            <w:r w:rsidR="003D45C3">
              <w:t>2</w:t>
            </w:r>
            <w:r w:rsidR="007B2AFD">
              <w:t>:00-</w:t>
            </w:r>
            <w:r w:rsidR="003D45C3">
              <w:t>4</w:t>
            </w:r>
            <w:r w:rsidR="007B2AFD">
              <w:t>:00pm</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208-241-</w:t>
            </w:r>
            <w:proofErr w:type="gramStart"/>
            <w:r>
              <w:t>1599</w:t>
            </w:r>
            <w:r w:rsidR="00A47A35" w:rsidRPr="00AF08DD">
              <w:t>  or</w:t>
            </w:r>
            <w:proofErr w:type="gramEnd"/>
            <w:r w:rsidR="00A47A35" w:rsidRPr="00AF08DD">
              <w:t>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A47A35" w:rsidRPr="00AF08DD" w:rsidRDefault="00A47A35" w:rsidP="003A3D9C">
      <w:r w:rsidRPr="00AF08DD">
        <w:rPr>
          <w:b/>
          <w:bCs/>
        </w:rPr>
        <w:t>Overview:</w:t>
      </w:r>
      <w:r w:rsidRPr="00AF08DD">
        <w:rPr>
          <w:b/>
        </w:rPr>
        <w:t xml:space="preserve">  </w:t>
      </w:r>
      <w:r w:rsidR="002F3724" w:rsidRPr="00AF08DD">
        <w:t xml:space="preserve">This course will </w:t>
      </w:r>
      <w:r w:rsidR="00B42EF9">
        <w:t>cover</w:t>
      </w:r>
      <w:r w:rsidR="003D45C3">
        <w:t xml:space="preserve"> an introduction of</w:t>
      </w:r>
      <w:r w:rsidR="00B42EF9">
        <w:t xml:space="preserve"> sonographic anatomy and scanning procedures of the </w:t>
      </w:r>
      <w:r w:rsidR="003D45C3">
        <w:t>vascular system</w:t>
      </w:r>
      <w:r w:rsidR="00B42EF9">
        <w:t>.</w:t>
      </w:r>
      <w:r w:rsidR="008A438E">
        <w:t xml:space="preserve"> </w:t>
      </w:r>
      <w:r w:rsidR="00B42EF9">
        <w:t xml:space="preserve">This class will </w:t>
      </w:r>
      <w:r w:rsidR="002F3724" w:rsidRPr="00AF08DD">
        <w:t xml:space="preserve">provide a fundamental presentation of topics that are important for students to master to become competent </w:t>
      </w:r>
      <w:r w:rsidR="00B42EF9">
        <w:t>sonographers</w:t>
      </w:r>
      <w:r w:rsidR="002F3724" w:rsidRPr="00AF08DD">
        <w:t>.</w:t>
      </w:r>
      <w:r w:rsidR="00B42EF9">
        <w:t xml:space="preserve"> Emphasis will be placed on pathology, various disease processes, and their sonographic appearance in the areas of </w:t>
      </w:r>
      <w:r w:rsidR="003D45C3">
        <w:t>peripheral arteries, veins, and abdominal vasculature.</w:t>
      </w:r>
      <w:r w:rsidR="00B42EF9">
        <w:t xml:space="preserve"> </w:t>
      </w:r>
      <w:r w:rsidR="004D6708" w:rsidRPr="00AF08DD">
        <w:t>Study of</w:t>
      </w:r>
      <w:r w:rsidR="00B42EF9">
        <w:t xml:space="preserve"> these things</w:t>
      </w:r>
      <w:r w:rsidR="00BE3D7A" w:rsidRPr="00AF08DD">
        <w:t xml:space="preserve"> will enable the student </w:t>
      </w:r>
      <w:r w:rsidR="00B42EF9">
        <w:t>sonographer</w:t>
      </w:r>
      <w:r w:rsidR="00BE3D7A" w:rsidRPr="00AF08DD">
        <w:t xml:space="preserve"> to understand and use this knowledge in a clinical setting.</w:t>
      </w:r>
    </w:p>
    <w:p w:rsidR="006F4128" w:rsidRPr="00AF08DD" w:rsidRDefault="006F4128" w:rsidP="003A3D9C"/>
    <w:p w:rsidR="006F4128" w:rsidRPr="00AF08DD" w:rsidRDefault="006F4128" w:rsidP="006F4128">
      <w:pPr>
        <w:pStyle w:val="BodyText3"/>
        <w:keepLines/>
        <w:widowControl w:val="0"/>
        <w:spacing w:after="0"/>
        <w:contextualSpacing/>
        <w:rPr>
          <w:sz w:val="24"/>
          <w:szCs w:val="24"/>
        </w:rPr>
      </w:pPr>
      <w:r w:rsidRPr="00AF08DD">
        <w:rPr>
          <w:sz w:val="24"/>
          <w:szCs w:val="24"/>
        </w:rPr>
        <w:t>In this course</w:t>
      </w:r>
      <w:r w:rsidR="003D45C3">
        <w:rPr>
          <w:sz w:val="24"/>
          <w:szCs w:val="24"/>
        </w:rPr>
        <w:t>,</w:t>
      </w:r>
      <w:r w:rsidRPr="00AF08DD">
        <w:rPr>
          <w:sz w:val="24"/>
          <w:szCs w:val="24"/>
        </w:rPr>
        <w:t xml:space="preserve"> students will be instructed in </w:t>
      </w:r>
      <w:r w:rsidR="003D45C3">
        <w:rPr>
          <w:sz w:val="24"/>
          <w:szCs w:val="24"/>
        </w:rPr>
        <w:t xml:space="preserve">hemodynamics, the role of ultrasound in vascular pathology, </w:t>
      </w:r>
      <w:r w:rsidR="0084221C">
        <w:rPr>
          <w:sz w:val="24"/>
          <w:szCs w:val="24"/>
        </w:rPr>
        <w:t xml:space="preserve">normal and collateral pathways, carotid artery assessment, vertebral artery assessment, risk factors and the role of ultrasound in the management of extremity venous disease, extremity venous anatomy and ultrasound techniques, diagnosis of deep venous thrombosis, diagnosis of venous insufficiency, non-imaging physiologic tests for assessment of lower extremity arterial disease, assessment of arterial occlusive disease, ultrasound evaluation before and after hemodialysis access, Doppler signatures of abdominal vessels, and the assessment of native renal vessels. </w:t>
      </w:r>
      <w:r w:rsidR="00B42EF9">
        <w:rPr>
          <w:sz w:val="24"/>
          <w:szCs w:val="24"/>
        </w:rPr>
        <w:t xml:space="preserve"> </w:t>
      </w:r>
      <w:r w:rsidRPr="00AF08DD">
        <w:rPr>
          <w:sz w:val="24"/>
          <w:szCs w:val="24"/>
        </w:rPr>
        <w:t xml:space="preserve">These practices </w:t>
      </w:r>
      <w:r w:rsidR="00B42EF9">
        <w:rPr>
          <w:sz w:val="24"/>
          <w:szCs w:val="24"/>
        </w:rPr>
        <w:t xml:space="preserve">will </w:t>
      </w:r>
      <w:r w:rsidR="0084221C">
        <w:rPr>
          <w:sz w:val="24"/>
          <w:szCs w:val="24"/>
        </w:rPr>
        <w:t xml:space="preserve">help </w:t>
      </w:r>
      <w:r w:rsidR="00B42EF9">
        <w:rPr>
          <w:sz w:val="24"/>
          <w:szCs w:val="24"/>
        </w:rPr>
        <w:t>the students to be</w:t>
      </w:r>
      <w:r w:rsidR="0084221C">
        <w:rPr>
          <w:sz w:val="24"/>
          <w:szCs w:val="24"/>
        </w:rPr>
        <w:t>gin</w:t>
      </w:r>
      <w:r w:rsidR="00B42EF9">
        <w:rPr>
          <w:sz w:val="24"/>
          <w:szCs w:val="24"/>
        </w:rPr>
        <w:t xml:space="preserve"> prepar</w:t>
      </w:r>
      <w:r w:rsidR="0084221C">
        <w:rPr>
          <w:sz w:val="24"/>
          <w:szCs w:val="24"/>
        </w:rPr>
        <w:t>ation</w:t>
      </w:r>
      <w:r w:rsidR="00B42EF9">
        <w:rPr>
          <w:sz w:val="24"/>
          <w:szCs w:val="24"/>
        </w:rPr>
        <w:t xml:space="preserve"> for the ARDMS </w:t>
      </w:r>
      <w:r w:rsidR="0084221C">
        <w:rPr>
          <w:sz w:val="24"/>
          <w:szCs w:val="24"/>
        </w:rPr>
        <w:t xml:space="preserve">Registered Vascular Technologist (RVT) examination. </w:t>
      </w:r>
      <w:r w:rsidR="00B42EF9">
        <w:rPr>
          <w:sz w:val="24"/>
          <w:szCs w:val="24"/>
        </w:rPr>
        <w:t xml:space="preserve">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236EDD">
        <w:rPr>
          <w:b/>
        </w:rPr>
        <w:t xml:space="preserve">Pellerito, </w:t>
      </w:r>
      <w:proofErr w:type="spellStart"/>
      <w:r w:rsidR="00236EDD">
        <w:rPr>
          <w:b/>
        </w:rPr>
        <w:t>Polak</w:t>
      </w:r>
      <w:proofErr w:type="spellEnd"/>
      <w:r w:rsidR="00236EDD">
        <w:rPr>
          <w:b/>
        </w:rPr>
        <w:t xml:space="preserve">. </w:t>
      </w:r>
      <w:r w:rsidR="00236EDD">
        <w:rPr>
          <w:bCs/>
          <w:i/>
          <w:iCs/>
        </w:rPr>
        <w:t xml:space="preserve">Introduction to Vascular Sonography. </w:t>
      </w:r>
      <w:r w:rsidR="00DC7891">
        <w:rPr>
          <w:bCs/>
        </w:rPr>
        <w:t>7</w:t>
      </w:r>
      <w:r w:rsidR="00236EDD" w:rsidRPr="00236EDD">
        <w:rPr>
          <w:bCs/>
          <w:vertAlign w:val="superscript"/>
        </w:rPr>
        <w:t>th</w:t>
      </w:r>
      <w:r w:rsidR="00236EDD">
        <w:rPr>
          <w:bCs/>
        </w:rPr>
        <w:t xml:space="preserve"> Edition. Philadelphia, PA: Elsevier; 20</w:t>
      </w:r>
      <w:r w:rsidR="00DC7891">
        <w:rPr>
          <w:bCs/>
        </w:rPr>
        <w:t>20</w:t>
      </w:r>
      <w:r w:rsidR="00236EDD">
        <w:rPr>
          <w:bCs/>
        </w:rPr>
        <w:t>. ISBN 978-</w:t>
      </w:r>
      <w:r w:rsidR="00DC7891">
        <w:rPr>
          <w:bCs/>
        </w:rPr>
        <w:t>0</w:t>
      </w:r>
      <w:r w:rsidR="00236EDD">
        <w:rPr>
          <w:bCs/>
        </w:rPr>
        <w:t>-</w:t>
      </w:r>
      <w:r w:rsidR="00DC7891">
        <w:rPr>
          <w:bCs/>
        </w:rPr>
        <w:t>323</w:t>
      </w:r>
      <w:r w:rsidR="00236EDD">
        <w:rPr>
          <w:bCs/>
        </w:rPr>
        <w:t>-</w:t>
      </w:r>
      <w:r w:rsidR="00DC7891">
        <w:rPr>
          <w:bCs/>
        </w:rPr>
        <w:t>42882-8</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xml:space="preserve">, </w:t>
      </w:r>
      <w:r w:rsidR="007260C6">
        <w:t xml:space="preserve">Workbook, </w:t>
      </w:r>
      <w:r w:rsidR="002760E6">
        <w:t xml:space="preserve">SonoSim, </w:t>
      </w:r>
      <w:r w:rsidR="00A47A35" w:rsidRPr="00AF08DD">
        <w:t>Moodle Supplement</w:t>
      </w:r>
    </w:p>
    <w:p w:rsidR="00C00886" w:rsidRPr="00AF08DD" w:rsidRDefault="00C00886" w:rsidP="00C00886"/>
    <w:p w:rsidR="00C00886" w:rsidRPr="00AF08DD" w:rsidRDefault="00C00886" w:rsidP="00C00886">
      <w:r w:rsidRPr="00AF08DD">
        <w:rPr>
          <w:b/>
          <w:bCs/>
        </w:rPr>
        <w:t xml:space="preserve">Code of Ethics:  </w:t>
      </w:r>
      <w:r w:rsidR="007260C6">
        <w:t>DMS 44</w:t>
      </w:r>
      <w:r w:rsidR="002158EA">
        <w:t>16</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A7291C" w:rsidRDefault="00387163" w:rsidP="008B5AE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responsibilities</w:t>
      </w:r>
      <w:r w:rsidR="007260C6">
        <w:t xml:space="preserve"> and understanding</w:t>
      </w:r>
      <w:r w:rsidR="00A47A35">
        <w:t xml:space="preserve"> of </w:t>
      </w:r>
      <w:r w:rsidR="00103D64">
        <w:t>vascular</w:t>
      </w:r>
      <w:r w:rsidR="002760E6">
        <w:t xml:space="preserve"> </w:t>
      </w:r>
      <w:r w:rsidR="007260C6">
        <w:t>sonographic</w:t>
      </w:r>
      <w:r w:rsidR="00A47A35">
        <w:t xml:space="preserve"> imaging. </w:t>
      </w:r>
      <w:r w:rsidR="002F3724">
        <w:t>The student will learn the</w:t>
      </w:r>
      <w:r w:rsidR="007260C6">
        <w:t xml:space="preserve"> </w:t>
      </w:r>
      <w:r w:rsidR="008E37B6">
        <w:t xml:space="preserve">peripheral arterial and venous systems, abdominal vasculature, carotid artery sonography, normal sonographic appearances of all of the above as well as pathologies. They will be taught non-physiologic testing for the assessment of lower extremity arterial disease and be competent in the assessment of deep vein thrombosis and arteriovenous fistulae. The students will learn the sonographic techniques, normal and pathologic findings of native renal vessels as well. </w:t>
      </w:r>
      <w:r w:rsidR="002F3724">
        <w:t>At the conclusion of the course</w:t>
      </w:r>
      <w:r w:rsidR="002760E6">
        <w:t>,</w:t>
      </w:r>
      <w:r w:rsidR="002F3724">
        <w:t xml:space="preserve"> students will demonstrate </w:t>
      </w:r>
      <w:r w:rsidR="002760E6">
        <w:t xml:space="preserve">knowledge of each item listed above. </w:t>
      </w:r>
      <w:r w:rsidR="002F3724">
        <w:t xml:space="preserve">Ultimately, </w:t>
      </w:r>
      <w:r w:rsidR="00CA552A">
        <w:t>t</w:t>
      </w:r>
      <w:r w:rsidR="00A7291C">
        <w:t xml:space="preserve">he student </w:t>
      </w:r>
      <w:r w:rsidR="00CA552A">
        <w:t xml:space="preserve">will gain a better understanding of the process involved </w:t>
      </w:r>
      <w:r w:rsidR="00CA552A">
        <w:lastRenderedPageBreak/>
        <w:t>i</w:t>
      </w:r>
      <w:r w:rsidR="00B4092C">
        <w:t>n obtaining a</w:t>
      </w:r>
      <w:r w:rsidR="002760E6">
        <w:t xml:space="preserve"> quality </w:t>
      </w:r>
      <w:r w:rsidR="008E37B6">
        <w:t xml:space="preserve">vascular </w:t>
      </w:r>
      <w:r w:rsidR="002760E6">
        <w:t xml:space="preserve">sonographic exam. </w:t>
      </w:r>
      <w:r w:rsidR="002F3724">
        <w:t>Th</w:t>
      </w:r>
      <w:r w:rsidR="00F076B7">
        <w:t xml:space="preserve">is </w:t>
      </w:r>
      <w:r w:rsidR="002F3724">
        <w:t xml:space="preserve">classroom </w:t>
      </w:r>
      <w:r w:rsidR="004D6708">
        <w:t>understanding</w:t>
      </w:r>
      <w:r w:rsidR="00F076B7">
        <w:t xml:space="preserve"> prepare</w:t>
      </w:r>
      <w:r w:rsidR="00B4092C">
        <w:t>s</w:t>
      </w:r>
      <w:r w:rsidR="00F076B7">
        <w:t xml:space="preserve"> the student for the corresponding laboratory </w:t>
      </w:r>
      <w:r w:rsidR="008E37B6">
        <w:t xml:space="preserve">and clinical </w:t>
      </w:r>
      <w:r w:rsidR="00F076B7">
        <w:t>experience.</w:t>
      </w:r>
    </w:p>
    <w:p w:rsidR="00854297" w:rsidRDefault="00854297" w:rsidP="00854297">
      <w:pPr>
        <w:rPr>
          <w:b/>
          <w:bCs/>
          <w:color w:val="333300"/>
          <w:sz w:val="27"/>
          <w:szCs w:val="27"/>
        </w:rPr>
      </w:pPr>
    </w:p>
    <w:p w:rsidR="007B2AFD" w:rsidRDefault="00854297" w:rsidP="00854297">
      <w:pPr>
        <w:rPr>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7B2AFD">
        <w:rPr>
          <w:b/>
          <w:bCs/>
          <w:color w:val="000000"/>
        </w:rPr>
        <w:t xml:space="preserve"> </w:t>
      </w:r>
      <w:r w:rsidR="007B2AFD">
        <w:rPr>
          <w:color w:val="000000"/>
        </w:rPr>
        <w:t>Upon completion of this course, the student will be able to:</w:t>
      </w:r>
    </w:p>
    <w:p w:rsidR="008E37B6" w:rsidRDefault="008E37B6" w:rsidP="00854297">
      <w:pPr>
        <w:rPr>
          <w:color w:val="000000"/>
        </w:rPr>
      </w:pPr>
    </w:p>
    <w:p w:rsidR="008E37B6" w:rsidRDefault="008E37B6" w:rsidP="008E37B6">
      <w:pPr>
        <w:pStyle w:val="ListParagraph"/>
        <w:numPr>
          <w:ilvl w:val="0"/>
          <w:numId w:val="7"/>
        </w:numPr>
        <w:rPr>
          <w:color w:val="000000"/>
        </w:rPr>
      </w:pPr>
      <w:r>
        <w:rPr>
          <w:color w:val="000000"/>
        </w:rPr>
        <w:t>Describe physiologic factors governing blood flow and its characteristics</w:t>
      </w:r>
    </w:p>
    <w:p w:rsidR="008E37B6" w:rsidRDefault="008E37B6" w:rsidP="008E37B6">
      <w:pPr>
        <w:pStyle w:val="ListParagraph"/>
        <w:numPr>
          <w:ilvl w:val="0"/>
          <w:numId w:val="7"/>
        </w:numPr>
        <w:rPr>
          <w:color w:val="000000"/>
        </w:rPr>
      </w:pPr>
      <w:r>
        <w:rPr>
          <w:color w:val="000000"/>
        </w:rPr>
        <w:t>Explain pulsatile pressure and flow changes in the arterial system</w:t>
      </w:r>
    </w:p>
    <w:p w:rsidR="008E37B6" w:rsidRDefault="008E37B6" w:rsidP="008E37B6">
      <w:pPr>
        <w:pStyle w:val="ListParagraph"/>
        <w:numPr>
          <w:ilvl w:val="0"/>
          <w:numId w:val="7"/>
        </w:numPr>
        <w:rPr>
          <w:color w:val="000000"/>
        </w:rPr>
      </w:pPr>
      <w:r>
        <w:rPr>
          <w:color w:val="000000"/>
        </w:rPr>
        <w:t>List the pulsatile wave patterns and define each</w:t>
      </w:r>
    </w:p>
    <w:p w:rsidR="008E37B6" w:rsidRDefault="008E37B6" w:rsidP="008E37B6">
      <w:pPr>
        <w:pStyle w:val="ListParagraph"/>
        <w:numPr>
          <w:ilvl w:val="0"/>
          <w:numId w:val="7"/>
        </w:numPr>
        <w:rPr>
          <w:color w:val="000000"/>
        </w:rPr>
      </w:pPr>
      <w:r>
        <w:rPr>
          <w:color w:val="000000"/>
        </w:rPr>
        <w:t>Discuss the effects of arterial obstruction</w:t>
      </w:r>
    </w:p>
    <w:p w:rsidR="008E37B6" w:rsidRDefault="008E37B6" w:rsidP="008E37B6">
      <w:pPr>
        <w:pStyle w:val="ListParagraph"/>
        <w:numPr>
          <w:ilvl w:val="0"/>
          <w:numId w:val="7"/>
        </w:numPr>
        <w:rPr>
          <w:color w:val="000000"/>
        </w:rPr>
      </w:pPr>
      <w:r>
        <w:rPr>
          <w:color w:val="000000"/>
        </w:rPr>
        <w:t>Describe venous hemodynamics</w:t>
      </w:r>
    </w:p>
    <w:p w:rsidR="008E37B6" w:rsidRDefault="008E37B6" w:rsidP="008E37B6">
      <w:pPr>
        <w:pStyle w:val="ListParagraph"/>
        <w:numPr>
          <w:ilvl w:val="0"/>
          <w:numId w:val="7"/>
        </w:numPr>
        <w:rPr>
          <w:color w:val="000000"/>
        </w:rPr>
      </w:pPr>
      <w:r>
        <w:rPr>
          <w:color w:val="000000"/>
        </w:rPr>
        <w:t>Explain Doppler spectrum analysis and identify normal vs abnormal waveforms</w:t>
      </w:r>
    </w:p>
    <w:p w:rsidR="008E37B6" w:rsidRDefault="008E37B6" w:rsidP="008E37B6">
      <w:pPr>
        <w:pStyle w:val="ListParagraph"/>
        <w:numPr>
          <w:ilvl w:val="0"/>
          <w:numId w:val="7"/>
        </w:numPr>
        <w:rPr>
          <w:color w:val="000000"/>
        </w:rPr>
      </w:pPr>
      <w:r>
        <w:rPr>
          <w:color w:val="000000"/>
        </w:rPr>
        <w:t xml:space="preserve">Identify veins and arteries sonographically and discuss the differences of each </w:t>
      </w:r>
    </w:p>
    <w:p w:rsidR="008E37B6" w:rsidRDefault="008E37B6" w:rsidP="008E37B6">
      <w:pPr>
        <w:pStyle w:val="ListParagraph"/>
        <w:numPr>
          <w:ilvl w:val="0"/>
          <w:numId w:val="7"/>
        </w:numPr>
        <w:rPr>
          <w:color w:val="000000"/>
        </w:rPr>
      </w:pPr>
      <w:r>
        <w:rPr>
          <w:color w:val="000000"/>
        </w:rPr>
        <w:t>Explain sonographic characteristics and techniques involved in imaging and assessing for deep venous thrombosis in the upper and lower extremities</w:t>
      </w:r>
    </w:p>
    <w:p w:rsidR="008E37B6" w:rsidRDefault="008E37B6" w:rsidP="008E37B6">
      <w:pPr>
        <w:pStyle w:val="ListParagraph"/>
        <w:numPr>
          <w:ilvl w:val="0"/>
          <w:numId w:val="7"/>
        </w:numPr>
        <w:rPr>
          <w:color w:val="000000"/>
        </w:rPr>
      </w:pPr>
      <w:r>
        <w:rPr>
          <w:color w:val="000000"/>
        </w:rPr>
        <w:t>Describe indications for arterial duplex studies of the lower extremities</w:t>
      </w:r>
    </w:p>
    <w:p w:rsidR="008E37B6" w:rsidRDefault="008E37B6" w:rsidP="008E37B6">
      <w:pPr>
        <w:pStyle w:val="ListParagraph"/>
        <w:numPr>
          <w:ilvl w:val="0"/>
          <w:numId w:val="7"/>
        </w:numPr>
        <w:rPr>
          <w:color w:val="000000"/>
        </w:rPr>
      </w:pPr>
      <w:r>
        <w:rPr>
          <w:color w:val="000000"/>
        </w:rPr>
        <w:t>List the differences of clinical symptoms between arterial stenoses/occlusions vs venous insufficiency</w:t>
      </w:r>
    </w:p>
    <w:p w:rsidR="008E37B6" w:rsidRDefault="008E37B6" w:rsidP="008E37B6">
      <w:pPr>
        <w:pStyle w:val="ListParagraph"/>
        <w:numPr>
          <w:ilvl w:val="0"/>
          <w:numId w:val="7"/>
        </w:numPr>
        <w:rPr>
          <w:color w:val="000000"/>
        </w:rPr>
      </w:pPr>
      <w:r>
        <w:rPr>
          <w:color w:val="000000"/>
        </w:rPr>
        <w:t>Know the anatomy and physiology of the carotid arterial system, the upper extremity vascular system, and the lower extremity vascular system</w:t>
      </w:r>
    </w:p>
    <w:p w:rsidR="008E37B6" w:rsidRDefault="008E37B6" w:rsidP="008E37B6">
      <w:pPr>
        <w:pStyle w:val="ListParagraph"/>
        <w:numPr>
          <w:ilvl w:val="0"/>
          <w:numId w:val="7"/>
        </w:numPr>
        <w:rPr>
          <w:color w:val="000000"/>
        </w:rPr>
      </w:pPr>
      <w:r>
        <w:rPr>
          <w:color w:val="000000"/>
        </w:rPr>
        <w:t>Discuss the protocols for upper extremity venous and arterial exams</w:t>
      </w:r>
    </w:p>
    <w:p w:rsidR="008E37B6" w:rsidRDefault="008E37B6" w:rsidP="008E37B6">
      <w:pPr>
        <w:pStyle w:val="ListParagraph"/>
        <w:numPr>
          <w:ilvl w:val="0"/>
          <w:numId w:val="7"/>
        </w:numPr>
        <w:rPr>
          <w:color w:val="000000"/>
        </w:rPr>
      </w:pPr>
      <w:r>
        <w:rPr>
          <w:color w:val="000000"/>
        </w:rPr>
        <w:t>Explain the protocols for lower extremity venous and arterial exams</w:t>
      </w:r>
    </w:p>
    <w:p w:rsidR="008E37B6" w:rsidRDefault="008E37B6" w:rsidP="008E37B6">
      <w:pPr>
        <w:pStyle w:val="ListParagraph"/>
        <w:numPr>
          <w:ilvl w:val="0"/>
          <w:numId w:val="7"/>
        </w:numPr>
        <w:rPr>
          <w:color w:val="000000"/>
        </w:rPr>
      </w:pPr>
      <w:r>
        <w:rPr>
          <w:color w:val="000000"/>
        </w:rPr>
        <w:t>List the indications for Ankle Brachial Index studies</w:t>
      </w:r>
    </w:p>
    <w:p w:rsidR="008E37B6" w:rsidRDefault="008E37B6" w:rsidP="008E37B6">
      <w:pPr>
        <w:pStyle w:val="ListParagraph"/>
        <w:numPr>
          <w:ilvl w:val="0"/>
          <w:numId w:val="7"/>
        </w:numPr>
        <w:rPr>
          <w:color w:val="000000"/>
        </w:rPr>
      </w:pPr>
      <w:r>
        <w:rPr>
          <w:color w:val="000000"/>
        </w:rPr>
        <w:t>Explain the role of the sonographer in vascular imaging</w:t>
      </w:r>
    </w:p>
    <w:p w:rsidR="008E37B6" w:rsidRDefault="008E37B6" w:rsidP="008E37B6">
      <w:pPr>
        <w:pStyle w:val="ListParagraph"/>
        <w:numPr>
          <w:ilvl w:val="0"/>
          <w:numId w:val="7"/>
        </w:numPr>
        <w:rPr>
          <w:color w:val="000000"/>
        </w:rPr>
      </w:pPr>
      <w:r>
        <w:rPr>
          <w:color w:val="000000"/>
        </w:rPr>
        <w:t>Describe pathologic findings of the Carotid Arterial system</w:t>
      </w:r>
    </w:p>
    <w:p w:rsidR="008E37B6" w:rsidRDefault="008E37B6" w:rsidP="008E37B6">
      <w:pPr>
        <w:pStyle w:val="ListParagraph"/>
        <w:numPr>
          <w:ilvl w:val="0"/>
          <w:numId w:val="7"/>
        </w:numPr>
        <w:rPr>
          <w:color w:val="000000"/>
        </w:rPr>
      </w:pPr>
      <w:r>
        <w:rPr>
          <w:color w:val="000000"/>
        </w:rPr>
        <w:t>Define atherosclerosis and identify the sonographic findings of it</w:t>
      </w:r>
    </w:p>
    <w:p w:rsidR="008E37B6" w:rsidRDefault="008E37B6" w:rsidP="008E37B6">
      <w:pPr>
        <w:pStyle w:val="ListParagraph"/>
        <w:numPr>
          <w:ilvl w:val="0"/>
          <w:numId w:val="7"/>
        </w:numPr>
        <w:rPr>
          <w:color w:val="000000"/>
        </w:rPr>
      </w:pPr>
      <w:r>
        <w:rPr>
          <w:color w:val="000000"/>
        </w:rPr>
        <w:t>Discuss the protocols used for scanning arteriovenous fistulas for hemodialysis access</w:t>
      </w:r>
    </w:p>
    <w:p w:rsidR="008E37B6" w:rsidRDefault="008E37B6" w:rsidP="008E37B6">
      <w:pPr>
        <w:pStyle w:val="ListParagraph"/>
        <w:numPr>
          <w:ilvl w:val="0"/>
          <w:numId w:val="7"/>
        </w:numPr>
        <w:rPr>
          <w:color w:val="000000"/>
        </w:rPr>
      </w:pPr>
      <w:r>
        <w:rPr>
          <w:color w:val="000000"/>
        </w:rPr>
        <w:t>Identify native vessels vs stents vs grafts sonographically</w:t>
      </w:r>
    </w:p>
    <w:p w:rsidR="008E37B6" w:rsidRDefault="008E37B6" w:rsidP="008E37B6">
      <w:pPr>
        <w:pStyle w:val="ListParagraph"/>
        <w:numPr>
          <w:ilvl w:val="0"/>
          <w:numId w:val="7"/>
        </w:numPr>
        <w:rPr>
          <w:color w:val="000000"/>
        </w:rPr>
      </w:pPr>
      <w:r>
        <w:rPr>
          <w:color w:val="000000"/>
        </w:rPr>
        <w:t>Describe the sonographic techniques of renal vessel exams</w:t>
      </w:r>
      <w:r w:rsidR="0016674C">
        <w:rPr>
          <w:color w:val="000000"/>
        </w:rPr>
        <w:t xml:space="preserve"> and be able to identify normal vs pathologic findings</w:t>
      </w:r>
    </w:p>
    <w:p w:rsidR="0016674C" w:rsidRDefault="0016674C" w:rsidP="008E37B6">
      <w:pPr>
        <w:pStyle w:val="ListParagraph"/>
        <w:numPr>
          <w:ilvl w:val="0"/>
          <w:numId w:val="7"/>
        </w:numPr>
        <w:rPr>
          <w:color w:val="000000"/>
        </w:rPr>
      </w:pPr>
      <w:r>
        <w:rPr>
          <w:color w:val="000000"/>
        </w:rPr>
        <w:t>Identify normal doppler signatures of abdominal vessels</w:t>
      </w:r>
    </w:p>
    <w:p w:rsidR="0016674C" w:rsidRDefault="0016674C" w:rsidP="008E37B6">
      <w:pPr>
        <w:pStyle w:val="ListParagraph"/>
        <w:numPr>
          <w:ilvl w:val="0"/>
          <w:numId w:val="7"/>
        </w:numPr>
        <w:rPr>
          <w:color w:val="000000"/>
        </w:rPr>
      </w:pPr>
      <w:r>
        <w:rPr>
          <w:color w:val="000000"/>
        </w:rPr>
        <w:t>Know how to evaluate vertebral arteries and describe subclavian steal</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 xml:space="preserve">Cheating includes, but is not limited to, (1) use of any unauthorized assistance in taking quizzes, tests, or examinations; (2) dependence upon the aid of sources beyond those authorized by the instructor in writing papers, preparing reports, solving problems, or completing other </w:t>
      </w:r>
      <w:r>
        <w:lastRenderedPageBreak/>
        <w:t>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2760E6">
        <w:t>of DMS 44</w:t>
      </w:r>
      <w:r w:rsidR="0016674C">
        <w:t>16</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xml:space="preserve">  I have allowed ‘printed material’ from the Web site to be available to the student.  This can present problems if not used properly.  Material from quizzes and tests should be used for your OWN study endeavors. </w:t>
      </w:r>
      <w:r w:rsidR="00967CCF">
        <w:t>Additionally</w:t>
      </w:r>
      <w:r w:rsidR="007B5AA3">
        <w:t>,</w:t>
      </w:r>
      <w:r w:rsidR="00967CCF">
        <w:t xml:space="preserve"> tests cannot be reviewed after they have been taken except in my presence. Failure to follow these instructions will result in a failure of the course.</w:t>
      </w:r>
    </w:p>
    <w:p w:rsidR="00EB0896" w:rsidRDefault="00C00886" w:rsidP="00350E7D">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16674C" w:rsidRDefault="0016674C" w:rsidP="00C00886">
      <w:pPr>
        <w:rPr>
          <w:color w:val="000000"/>
        </w:rPr>
      </w:pPr>
    </w:p>
    <w:p w:rsidR="00E71D29"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16674C" w:rsidRPr="007A70DC" w:rsidRDefault="0016674C" w:rsidP="00C00886">
      <w:pPr>
        <w:rPr>
          <w:color w:val="000000"/>
        </w:rPr>
      </w:pP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715B9B">
              <w:rPr>
                <w:color w:val="000000"/>
              </w:rPr>
              <w:t>Chapters</w:t>
            </w:r>
            <w:r w:rsidR="001F3CA5">
              <w:rPr>
                <w:color w:val="000000"/>
              </w:rPr>
              <w:t xml:space="preserve"> </w:t>
            </w:r>
            <w:r w:rsidR="0016674C">
              <w:rPr>
                <w:color w:val="000000"/>
              </w:rPr>
              <w:t>1,3</w:t>
            </w:r>
            <w:r w:rsidR="00DC7891">
              <w:rPr>
                <w:color w:val="000000"/>
              </w:rPr>
              <w:t>-9</w:t>
            </w:r>
          </w:p>
        </w:tc>
        <w:tc>
          <w:tcPr>
            <w:tcW w:w="2070" w:type="dxa"/>
          </w:tcPr>
          <w:p w:rsidR="00E71D29" w:rsidRPr="009E03AD" w:rsidRDefault="00DC7891" w:rsidP="00E340B2">
            <w:r>
              <w:t>2</w:t>
            </w:r>
            <w:r w:rsidR="0088440C">
              <w:t>0</w:t>
            </w:r>
            <w:r w:rsidR="00921715">
              <w:t>%</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715B9B">
              <w:rPr>
                <w:color w:val="000000"/>
              </w:rPr>
              <w:t xml:space="preserve">Chapters </w:t>
            </w:r>
            <w:r w:rsidR="0016674C">
              <w:rPr>
                <w:color w:val="000000"/>
              </w:rPr>
              <w:t>1</w:t>
            </w:r>
            <w:r w:rsidR="00DC7891">
              <w:rPr>
                <w:color w:val="000000"/>
              </w:rPr>
              <w:t>8-21, Upper Extremity Thrombosis</w:t>
            </w:r>
          </w:p>
        </w:tc>
        <w:tc>
          <w:tcPr>
            <w:tcW w:w="2070" w:type="dxa"/>
          </w:tcPr>
          <w:p w:rsidR="00E71D29" w:rsidRPr="009E03AD" w:rsidRDefault="00DC7891" w:rsidP="00E340B2">
            <w:r>
              <w:t>2</w:t>
            </w:r>
            <w:r w:rsidR="0088440C">
              <w:t>0</w:t>
            </w:r>
            <w:r w:rsidR="00E71D29" w:rsidRPr="009E03AD">
              <w:t>%</w:t>
            </w:r>
          </w:p>
        </w:tc>
      </w:tr>
      <w:tr w:rsidR="00E71D29" w:rsidRPr="009E03AD" w:rsidTr="00E340B2">
        <w:tc>
          <w:tcPr>
            <w:tcW w:w="6948" w:type="dxa"/>
          </w:tcPr>
          <w:p w:rsidR="00E71D29" w:rsidRPr="007A70DC" w:rsidRDefault="00715B9B" w:rsidP="00921715">
            <w:pPr>
              <w:rPr>
                <w:color w:val="000000"/>
              </w:rPr>
            </w:pPr>
            <w:r>
              <w:rPr>
                <w:color w:val="000000"/>
              </w:rPr>
              <w:t>Test #3 = Chap</w:t>
            </w:r>
            <w:r w:rsidR="0016674C">
              <w:rPr>
                <w:color w:val="000000"/>
              </w:rPr>
              <w:t xml:space="preserve">ters </w:t>
            </w:r>
            <w:r w:rsidR="00DC7891">
              <w:rPr>
                <w:color w:val="000000"/>
              </w:rPr>
              <w:t>11-15</w:t>
            </w:r>
          </w:p>
        </w:tc>
        <w:tc>
          <w:tcPr>
            <w:tcW w:w="2070" w:type="dxa"/>
          </w:tcPr>
          <w:p w:rsidR="00E71D29" w:rsidRPr="009E03AD" w:rsidRDefault="00DC7891" w:rsidP="00E340B2">
            <w:r>
              <w:t>2</w:t>
            </w:r>
            <w:r w:rsidR="0088440C">
              <w:t>0</w:t>
            </w:r>
            <w:r w:rsidR="00E71D29" w:rsidRPr="009E03AD">
              <w:t>%</w:t>
            </w:r>
          </w:p>
        </w:tc>
      </w:tr>
      <w:tr w:rsidR="00DC7891" w:rsidRPr="009E03AD" w:rsidTr="00E340B2">
        <w:tc>
          <w:tcPr>
            <w:tcW w:w="6948" w:type="dxa"/>
          </w:tcPr>
          <w:p w:rsidR="00DC7891" w:rsidRDefault="00DC7891" w:rsidP="00921715">
            <w:pPr>
              <w:rPr>
                <w:color w:val="000000"/>
              </w:rPr>
            </w:pPr>
            <w:r>
              <w:rPr>
                <w:color w:val="000000"/>
              </w:rPr>
              <w:t xml:space="preserve">Cumulative Final </w:t>
            </w:r>
          </w:p>
        </w:tc>
        <w:tc>
          <w:tcPr>
            <w:tcW w:w="2070" w:type="dxa"/>
          </w:tcPr>
          <w:p w:rsidR="00DC7891" w:rsidRDefault="00DC7891" w:rsidP="00E340B2">
            <w:r>
              <w:t>30%</w:t>
            </w:r>
          </w:p>
        </w:tc>
      </w:tr>
      <w:tr w:rsidR="00E71D29" w:rsidRPr="009E03AD" w:rsidTr="00E340B2">
        <w:tc>
          <w:tcPr>
            <w:tcW w:w="6948" w:type="dxa"/>
          </w:tcPr>
          <w:p w:rsidR="00E71D29" w:rsidRPr="007A70DC" w:rsidRDefault="00921715" w:rsidP="00E71D29">
            <w:pPr>
              <w:rPr>
                <w:color w:val="000000"/>
              </w:rPr>
            </w:pPr>
            <w:r>
              <w:rPr>
                <w:color w:val="000000"/>
              </w:rPr>
              <w:t>A</w:t>
            </w:r>
            <w:r w:rsidR="00DC7891">
              <w:rPr>
                <w:color w:val="000000"/>
              </w:rPr>
              <w:t>rticle Quizzes (2)</w:t>
            </w:r>
          </w:p>
        </w:tc>
        <w:tc>
          <w:tcPr>
            <w:tcW w:w="2070" w:type="dxa"/>
          </w:tcPr>
          <w:p w:rsidR="00E71D29" w:rsidRDefault="0088440C" w:rsidP="00E340B2">
            <w:r>
              <w:t>10</w:t>
            </w:r>
            <w:r w:rsidR="00921715">
              <w:t>%</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88440C" w:rsidRDefault="0088440C" w:rsidP="00C00886">
      <w:bookmarkStart w:id="0" w:name="_GoBack"/>
      <w:bookmarkEnd w:id="0"/>
    </w:p>
    <w:p w:rsidR="00DC7891" w:rsidRDefault="00DC7891" w:rsidP="00C00886"/>
    <w:p w:rsidR="00DC7891" w:rsidRDefault="00DC7891"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and Quizzes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F3CA5">
        <w:rPr>
          <w:color w:val="000000"/>
        </w:rPr>
        <w:t>no</w:t>
      </w:r>
      <w:r w:rsidRPr="007A70DC">
        <w:rPr>
          <w:color w:val="000000"/>
        </w:rPr>
        <w:t xml:space="preserve"> 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CB3871" w:rsidRPr="0069748A" w:rsidRDefault="00602C5F" w:rsidP="00BD4AD1">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r w:rsidRPr="007A70DC">
        <w:rPr>
          <w:i/>
          <w:iCs/>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w:t>
      </w:r>
      <w:r>
        <w:lastRenderedPageBreak/>
        <w:t>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p w:rsidR="00DC7891" w:rsidRDefault="00DC7891" w:rsidP="00DC7891">
      <w:pPr>
        <w:tabs>
          <w:tab w:val="left" w:pos="6720"/>
        </w:tabs>
      </w:pPr>
      <w:r w:rsidRPr="00DC7891">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sectPr w:rsidR="00DC7891"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8A4" w:rsidRDefault="00E328A4">
      <w:r>
        <w:separator/>
      </w:r>
    </w:p>
  </w:endnote>
  <w:endnote w:type="continuationSeparator" w:id="0">
    <w:p w:rsidR="00E328A4" w:rsidRDefault="00E3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8A4" w:rsidRDefault="00E328A4">
      <w:r>
        <w:separator/>
      </w:r>
    </w:p>
  </w:footnote>
  <w:footnote w:type="continuationSeparator" w:id="0">
    <w:p w:rsidR="00E328A4" w:rsidRDefault="00E3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w:t>
    </w:r>
    <w:r w:rsidR="003D45C3">
      <w:rPr>
        <w:color w:val="000000"/>
      </w:rPr>
      <w:t>16</w:t>
    </w:r>
    <w:r w:rsidRPr="007A70DC">
      <w:rPr>
        <w:color w:val="000000"/>
      </w:rPr>
      <w:t>,</w:t>
    </w:r>
    <w:r w:rsidR="004020CD">
      <w:rPr>
        <w:color w:val="000000"/>
      </w:rPr>
      <w:t xml:space="preserve"> </w:t>
    </w:r>
    <w:r w:rsidR="003D45C3">
      <w:rPr>
        <w:color w:val="000000"/>
      </w:rPr>
      <w:t>Vascular Sonography</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C25F2"/>
    <w:multiLevelType w:val="hybridMultilevel"/>
    <w:tmpl w:val="21F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C3"/>
    <w:rsid w:val="000013A3"/>
    <w:rsid w:val="00016F00"/>
    <w:rsid w:val="00056B13"/>
    <w:rsid w:val="00062E60"/>
    <w:rsid w:val="000C0FF5"/>
    <w:rsid w:val="000D189E"/>
    <w:rsid w:val="00103D64"/>
    <w:rsid w:val="001156CC"/>
    <w:rsid w:val="0014015D"/>
    <w:rsid w:val="00143125"/>
    <w:rsid w:val="00146845"/>
    <w:rsid w:val="001470FA"/>
    <w:rsid w:val="00166389"/>
    <w:rsid w:val="0016674C"/>
    <w:rsid w:val="001778D3"/>
    <w:rsid w:val="001B23EF"/>
    <w:rsid w:val="001F3CA5"/>
    <w:rsid w:val="001F51A9"/>
    <w:rsid w:val="002158EA"/>
    <w:rsid w:val="00236EDD"/>
    <w:rsid w:val="002570D0"/>
    <w:rsid w:val="00267C5A"/>
    <w:rsid w:val="002760E6"/>
    <w:rsid w:val="00286892"/>
    <w:rsid w:val="002E1651"/>
    <w:rsid w:val="002E57A0"/>
    <w:rsid w:val="002F3724"/>
    <w:rsid w:val="002F3C15"/>
    <w:rsid w:val="00350E7D"/>
    <w:rsid w:val="00387163"/>
    <w:rsid w:val="00392BF9"/>
    <w:rsid w:val="003A3D9C"/>
    <w:rsid w:val="003D45C3"/>
    <w:rsid w:val="003E1C0C"/>
    <w:rsid w:val="003E3D23"/>
    <w:rsid w:val="004020CD"/>
    <w:rsid w:val="00404DFC"/>
    <w:rsid w:val="004061A3"/>
    <w:rsid w:val="00425A59"/>
    <w:rsid w:val="00437750"/>
    <w:rsid w:val="004461EF"/>
    <w:rsid w:val="00472E86"/>
    <w:rsid w:val="0049495A"/>
    <w:rsid w:val="00497802"/>
    <w:rsid w:val="004A7A34"/>
    <w:rsid w:val="004D6708"/>
    <w:rsid w:val="0052615B"/>
    <w:rsid w:val="0054203A"/>
    <w:rsid w:val="005934BA"/>
    <w:rsid w:val="005B0950"/>
    <w:rsid w:val="005D2EE4"/>
    <w:rsid w:val="005D726A"/>
    <w:rsid w:val="00602C5F"/>
    <w:rsid w:val="006258F1"/>
    <w:rsid w:val="00643614"/>
    <w:rsid w:val="00657B56"/>
    <w:rsid w:val="0066695F"/>
    <w:rsid w:val="006946D0"/>
    <w:rsid w:val="0069748A"/>
    <w:rsid w:val="00697F28"/>
    <w:rsid w:val="006C067C"/>
    <w:rsid w:val="006C32A1"/>
    <w:rsid w:val="006F4128"/>
    <w:rsid w:val="00700876"/>
    <w:rsid w:val="007072E7"/>
    <w:rsid w:val="00715B9B"/>
    <w:rsid w:val="007260C6"/>
    <w:rsid w:val="00786E30"/>
    <w:rsid w:val="007A70DC"/>
    <w:rsid w:val="007B2AFD"/>
    <w:rsid w:val="007B5AA3"/>
    <w:rsid w:val="0084221C"/>
    <w:rsid w:val="00844FAB"/>
    <w:rsid w:val="00845210"/>
    <w:rsid w:val="00854297"/>
    <w:rsid w:val="00856A52"/>
    <w:rsid w:val="00866E75"/>
    <w:rsid w:val="0088440C"/>
    <w:rsid w:val="008A438E"/>
    <w:rsid w:val="008B5AE2"/>
    <w:rsid w:val="008E37B6"/>
    <w:rsid w:val="008F6388"/>
    <w:rsid w:val="008F6D93"/>
    <w:rsid w:val="00917AAE"/>
    <w:rsid w:val="00921715"/>
    <w:rsid w:val="00965051"/>
    <w:rsid w:val="00967CCF"/>
    <w:rsid w:val="00983235"/>
    <w:rsid w:val="009C3A67"/>
    <w:rsid w:val="009C56C5"/>
    <w:rsid w:val="009E2733"/>
    <w:rsid w:val="009E5DA6"/>
    <w:rsid w:val="009F15CC"/>
    <w:rsid w:val="00A16443"/>
    <w:rsid w:val="00A26031"/>
    <w:rsid w:val="00A42F1D"/>
    <w:rsid w:val="00A47A35"/>
    <w:rsid w:val="00A7291C"/>
    <w:rsid w:val="00A72EB7"/>
    <w:rsid w:val="00A77ED1"/>
    <w:rsid w:val="00AD3997"/>
    <w:rsid w:val="00AF08DD"/>
    <w:rsid w:val="00AF3DB2"/>
    <w:rsid w:val="00B222F0"/>
    <w:rsid w:val="00B4092C"/>
    <w:rsid w:val="00B40ED5"/>
    <w:rsid w:val="00B42EF9"/>
    <w:rsid w:val="00B54BB8"/>
    <w:rsid w:val="00B56653"/>
    <w:rsid w:val="00B7288E"/>
    <w:rsid w:val="00B90FE5"/>
    <w:rsid w:val="00BD4AD1"/>
    <w:rsid w:val="00BE3D7A"/>
    <w:rsid w:val="00C00886"/>
    <w:rsid w:val="00C839E2"/>
    <w:rsid w:val="00CA552A"/>
    <w:rsid w:val="00CB1766"/>
    <w:rsid w:val="00CB3871"/>
    <w:rsid w:val="00CD5D6C"/>
    <w:rsid w:val="00D724FE"/>
    <w:rsid w:val="00D7467D"/>
    <w:rsid w:val="00DC509B"/>
    <w:rsid w:val="00DC7891"/>
    <w:rsid w:val="00DD143D"/>
    <w:rsid w:val="00DD3DFE"/>
    <w:rsid w:val="00DF5FC1"/>
    <w:rsid w:val="00E26C93"/>
    <w:rsid w:val="00E328A4"/>
    <w:rsid w:val="00E340B2"/>
    <w:rsid w:val="00E71D29"/>
    <w:rsid w:val="00E90571"/>
    <w:rsid w:val="00E92A22"/>
    <w:rsid w:val="00E964A5"/>
    <w:rsid w:val="00EB0896"/>
    <w:rsid w:val="00EB59BA"/>
    <w:rsid w:val="00F076B7"/>
    <w:rsid w:val="00F35C5A"/>
    <w:rsid w:val="00F40047"/>
    <w:rsid w:val="00F401B3"/>
    <w:rsid w:val="00F4576C"/>
    <w:rsid w:val="00F4605F"/>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85973"/>
  <w15:docId w15:val="{6EEA4EA4-57EA-B74C-8D49-C7BE0CD5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7B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9C41-E345-4652-BF2A-0C4650FA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11186</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3</cp:revision>
  <cp:lastPrinted>2011-11-08T15:40:00Z</cp:lastPrinted>
  <dcterms:created xsi:type="dcterms:W3CDTF">2020-08-12T17:23:00Z</dcterms:created>
  <dcterms:modified xsi:type="dcterms:W3CDTF">2021-08-23T17:28:00Z</dcterms:modified>
</cp:coreProperties>
</file>